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40308317"/>
        <w:docPartObj>
          <w:docPartGallery w:val="Cover Pages"/>
          <w:docPartUnique/>
        </w:docPartObj>
      </w:sdtPr>
      <w:sdtEndPr>
        <w:rPr>
          <w:rFonts w:asciiTheme="majorHAnsi" w:eastAsiaTheme="majorEastAsia" w:hAnsiTheme="majorHAnsi" w:cstheme="majorBidi"/>
          <w:color w:val="EEECE1" w:themeColor="background2"/>
          <w:spacing w:val="5"/>
          <w:kern w:val="28"/>
          <w:sz w:val="24"/>
          <w:szCs w:val="24"/>
          <w:lang w:eastAsia="sv-SE"/>
        </w:rPr>
      </w:sdtEndPr>
      <w:sdtContent>
        <w:p w14:paraId="2287C73C" w14:textId="77777777" w:rsidR="00114220" w:rsidRDefault="00114220" w:rsidP="00606A6B">
          <w:pPr>
            <w:ind w:left="-142"/>
          </w:pPr>
        </w:p>
        <w:p w14:paraId="4DF319B8" w14:textId="77777777" w:rsidR="00114220" w:rsidRDefault="00114220"/>
        <w:p w14:paraId="022E8848" w14:textId="76764E5A" w:rsidR="000618C3" w:rsidRDefault="000618C3" w:rsidP="00D2411A">
          <w:pPr>
            <w:jc w:val="center"/>
            <w:rPr>
              <w:rFonts w:ascii="Times New Roman" w:hAnsi="Times New Roman" w:cs="Times New Roman"/>
              <w:b/>
              <w:sz w:val="40"/>
              <w:szCs w:val="40"/>
            </w:rPr>
          </w:pPr>
          <w:r w:rsidRPr="000618C3">
            <w:rPr>
              <w:rFonts w:ascii="Times New Roman" w:hAnsi="Times New Roman" w:cs="Times New Roman"/>
              <w:b/>
              <w:sz w:val="40"/>
              <w:szCs w:val="40"/>
            </w:rPr>
            <w:t xml:space="preserve">Hållbarhetsredovisning </w:t>
          </w:r>
          <w:r w:rsidR="00D658FE">
            <w:rPr>
              <w:rFonts w:ascii="Times New Roman" w:hAnsi="Times New Roman" w:cs="Times New Roman"/>
              <w:b/>
              <w:sz w:val="40"/>
              <w:szCs w:val="40"/>
            </w:rPr>
            <w:t>201</w:t>
          </w:r>
          <w:r w:rsidR="001E7130">
            <w:rPr>
              <w:rFonts w:ascii="Times New Roman" w:hAnsi="Times New Roman" w:cs="Times New Roman"/>
              <w:b/>
              <w:sz w:val="40"/>
              <w:szCs w:val="40"/>
            </w:rPr>
            <w:t>9</w:t>
          </w:r>
        </w:p>
        <w:p w14:paraId="4E2EDCDD" w14:textId="56244305" w:rsidR="00EA34F7" w:rsidRPr="00ED323F" w:rsidRDefault="002B58D6" w:rsidP="00ED323F">
          <w:pPr>
            <w:rPr>
              <w:rFonts w:asciiTheme="majorHAnsi" w:eastAsiaTheme="majorEastAsia" w:hAnsiTheme="majorHAnsi" w:cstheme="majorBidi"/>
              <w:color w:val="EEECE1" w:themeColor="background2"/>
              <w:spacing w:val="5"/>
              <w:kern w:val="28"/>
              <w:sz w:val="24"/>
              <w:szCs w:val="24"/>
              <w:lang w:eastAsia="sv-SE"/>
            </w:rPr>
          </w:pPr>
          <w:r>
            <w:rPr>
              <w:noProof/>
              <w:lang w:eastAsia="sv-SE"/>
            </w:rPr>
            <mc:AlternateContent>
              <mc:Choice Requires="wpg">
                <w:drawing>
                  <wp:anchor distT="0" distB="0" distL="114300" distR="114300" simplePos="0" relativeHeight="251659264" behindDoc="0" locked="0" layoutInCell="0" allowOverlap="1" wp14:anchorId="12491C80" wp14:editId="19D720DC">
                    <wp:simplePos x="0" y="0"/>
                    <wp:positionH relativeFrom="page">
                      <wp:posOffset>892810</wp:posOffset>
                    </wp:positionH>
                    <wp:positionV relativeFrom="page">
                      <wp:posOffset>8048625</wp:posOffset>
                    </wp:positionV>
                    <wp:extent cx="5951855" cy="2030095"/>
                    <wp:effectExtent l="0" t="0" r="0" b="0"/>
                    <wp:wrapNone/>
                    <wp:docPr id="20" name="Grup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2030095"/>
                              <a:chOff x="613" y="8712"/>
                              <a:chExt cx="11015" cy="6336"/>
                            </a:xfrm>
                          </wpg:grpSpPr>
                          <wps:wsp>
                            <wps:cNvPr id="21" name="Rectangle 8"/>
                            <wps:cNvSpPr>
                              <a:spLocks noChangeArrowheads="1"/>
                            </wps:cNvSpPr>
                            <wps:spPr bwMode="auto">
                              <a:xfrm>
                                <a:off x="4897" y="10815"/>
                                <a:ext cx="6731" cy="4233"/>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14:paraId="213360BE" w14:textId="77777777" w:rsidR="001A191B" w:rsidRDefault="001A191B">
                                  <w:pPr>
                                    <w:pStyle w:val="Ingetavstnd"/>
                                  </w:pPr>
                                </w:p>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14:paraId="34FA2A6D" w14:textId="77777777" w:rsidR="001A191B" w:rsidRDefault="001A191B">
                                  <w:pPr>
                                    <w:pStyle w:val="Ingetavstnd"/>
                                    <w:jc w:val="right"/>
                                    <w:rPr>
                                      <w:b/>
                                      <w:bCs/>
                                    </w:rPr>
                                  </w:pPr>
                                </w:p>
                                <w:sdt>
                                  <w:sdtPr>
                                    <w:rPr>
                                      <w:b/>
                                      <w:bCs/>
                                    </w:rPr>
                                    <w:alias w:val="Telefon"/>
                                    <w:id w:val="-1970355181"/>
                                    <w:showingPlcHdr/>
                                    <w:dataBinding w:prefixMappings="xmlns:ns0='http://schemas.microsoft.com/office/2006/coverPageProps'" w:xpath="/ns0:CoverPageProperties[1]/ns0:CompanyPhone[1]" w:storeItemID="{55AF091B-3C7A-41E3-B477-F2FDAA23CFDA}"/>
                                    <w:text/>
                                  </w:sdtPr>
                                  <w:sdtContent>
                                    <w:p w14:paraId="7C3A72DB" w14:textId="77777777" w:rsidR="001A191B" w:rsidRDefault="001A191B">
                                      <w:pPr>
                                        <w:pStyle w:val="Ingetavstnd"/>
                                        <w:jc w:val="right"/>
                                        <w:rPr>
                                          <w:b/>
                                          <w:bCs/>
                                        </w:rPr>
                                      </w:pPr>
                                      <w:r>
                                        <w:rPr>
                                          <w:b/>
                                          <w:bCs/>
                                        </w:rPr>
                                        <w:t xml:space="preserve">     </w:t>
                                      </w:r>
                                    </w:p>
                                  </w:sdtContent>
                                </w:sdt>
                                <w:p w14:paraId="695544E6" w14:textId="77777777" w:rsidR="001A191B" w:rsidRDefault="001A191B">
                                  <w:pPr>
                                    <w:pStyle w:val="Ingetavstnd"/>
                                    <w:jc w:val="right"/>
                                    <w:rPr>
                                      <w:b/>
                                      <w:bCs/>
                                    </w:rPr>
                                  </w:pPr>
                                </w:p>
                              </w:txbxContent>
                            </wps:txbx>
                            <wps:bodyPr rot="0" vert="horz" wrap="square" lIns="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91C80" id="Grupp 7" o:spid="_x0000_s1026" style="position:absolute;margin-left:70.3pt;margin-top:633.75pt;width:468.65pt;height:159.85pt;z-index:251659264;mso-position-horizontal-relative:page;mso-position-vertical-relative:page"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" o:allowincell="f">
                    <v:rect id="Rectangle 8" o:spid="_x0000_s1027" style="position:absolute;left:4897;top:10815;width:6731;height:4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p w14:paraId="213360BE" w14:textId="77777777" w:rsidR="001A191B" w:rsidRDefault="001A191B">
                            <w:pPr>
                              <w:pStyle w:val="Ingetavstnd"/>
                            </w:pPr>
                          </w:p>
                        </w:txbxContent>
                      </v:textbox>
                    </v:rect>
                    <v:rect id="Rectangle 9" o:spid="_x0000_s1028"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p w14:paraId="34FA2A6D" w14:textId="77777777" w:rsidR="001A191B" w:rsidRDefault="001A191B">
                            <w:pPr>
                              <w:pStyle w:val="Ingetavstnd"/>
                              <w:jc w:val="right"/>
                              <w:rPr>
                                <w:b/>
                                <w:bCs/>
                              </w:rPr>
                            </w:pPr>
                          </w:p>
                          <w:sdt>
                            <w:sdtPr>
                              <w:rPr>
                                <w:b/>
                                <w:bCs/>
                              </w:rPr>
                              <w:alias w:val="Telefon"/>
                              <w:id w:val="-1970355181"/>
                              <w:showingPlcHdr/>
                              <w:dataBinding w:prefixMappings="xmlns:ns0='http://schemas.microsoft.com/office/2006/coverPageProps'" w:xpath="/ns0:CoverPageProperties[1]/ns0:CompanyPhone[1]" w:storeItemID="{55AF091B-3C7A-41E3-B477-F2FDAA23CFDA}"/>
                              <w:text/>
                            </w:sdtPr>
                            <w:sdtContent>
                              <w:p w14:paraId="7C3A72DB" w14:textId="77777777" w:rsidR="001A191B" w:rsidRDefault="001A191B">
                                <w:pPr>
                                  <w:pStyle w:val="Ingetavstnd"/>
                                  <w:jc w:val="right"/>
                                  <w:rPr>
                                    <w:b/>
                                    <w:bCs/>
                                  </w:rPr>
                                </w:pPr>
                                <w:r>
                                  <w:rPr>
                                    <w:b/>
                                    <w:bCs/>
                                  </w:rPr>
                                  <w:t xml:space="preserve">     </w:t>
                                </w:r>
                              </w:p>
                            </w:sdtContent>
                          </w:sdt>
                          <w:p w14:paraId="695544E6" w14:textId="77777777" w:rsidR="001A191B" w:rsidRDefault="001A191B">
                            <w:pPr>
                              <w:pStyle w:val="Ingetavstnd"/>
                              <w:jc w:val="right"/>
                              <w:rPr>
                                <w:b/>
                                <w:bCs/>
                              </w:rPr>
                            </w:pPr>
                          </w:p>
                        </w:txbxContent>
                      </v:textbox>
                    </v:rect>
                    <w10:wrap anchorx="page" anchory="page"/>
                  </v:group>
                </w:pict>
              </mc:Fallback>
            </mc:AlternateContent>
          </w:r>
          <w:r w:rsidR="00114220">
            <w:rPr>
              <w:rFonts w:asciiTheme="majorHAnsi" w:eastAsiaTheme="majorEastAsia" w:hAnsiTheme="majorHAnsi" w:cstheme="majorBidi"/>
              <w:color w:val="EEECE1" w:themeColor="background2"/>
              <w:spacing w:val="5"/>
              <w:kern w:val="28"/>
              <w:sz w:val="96"/>
              <w:szCs w:val="96"/>
              <w:lang w:eastAsia="sv-SE"/>
            </w:rPr>
            <w:br w:type="page"/>
          </w:r>
        </w:p>
      </w:sdtContent>
    </w:sdt>
    <w:sdt>
      <w:sdtPr>
        <w:rPr>
          <w:rFonts w:asciiTheme="minorHAnsi" w:eastAsiaTheme="minorHAnsi" w:hAnsiTheme="minorHAnsi" w:cstheme="minorBidi"/>
          <w:b w:val="0"/>
          <w:bCs w:val="0"/>
          <w:color w:val="auto"/>
          <w:sz w:val="22"/>
          <w:szCs w:val="22"/>
          <w:lang w:eastAsia="en-US"/>
        </w:rPr>
        <w:id w:val="1889077332"/>
        <w:docPartObj>
          <w:docPartGallery w:val="Table of Contents"/>
          <w:docPartUnique/>
        </w:docPartObj>
      </w:sdtPr>
      <w:sdtContent>
        <w:p w14:paraId="76DBF8A7" w14:textId="77777777" w:rsidR="000618C3" w:rsidRPr="00EA6971" w:rsidRDefault="000618C3">
          <w:pPr>
            <w:pStyle w:val="Innehllsfrteckningsrubrik"/>
            <w:rPr>
              <w:color w:val="auto"/>
            </w:rPr>
          </w:pPr>
          <w:r w:rsidRPr="00EA6971">
            <w:rPr>
              <w:color w:val="auto"/>
            </w:rPr>
            <w:t>Innehåll</w:t>
          </w:r>
        </w:p>
        <w:p w14:paraId="1DBBF315" w14:textId="77777777" w:rsidR="00C2704C" w:rsidRDefault="00331698">
          <w:pPr>
            <w:pStyle w:val="Innehll1"/>
            <w:tabs>
              <w:tab w:val="left" w:pos="440"/>
              <w:tab w:val="right" w:leader="dot" w:pos="8715"/>
            </w:tabs>
            <w:rPr>
              <w:rFonts w:eastAsiaTheme="minorEastAsia"/>
              <w:noProof/>
              <w:lang w:eastAsia="sv-SE"/>
            </w:rPr>
          </w:pPr>
          <w:r w:rsidRPr="00EE4B96">
            <w:fldChar w:fldCharType="begin"/>
          </w:r>
          <w:r w:rsidR="000618C3" w:rsidRPr="00EA6971">
            <w:instrText xml:space="preserve"> TOC \o "1-3" \h \z \u </w:instrText>
          </w:r>
          <w:r w:rsidRPr="00EE4B96">
            <w:fldChar w:fldCharType="separate"/>
          </w:r>
          <w:hyperlink w:anchor="_Toc34657523" w:history="1">
            <w:r w:rsidR="00C2704C" w:rsidRPr="00702CFF">
              <w:rPr>
                <w:rStyle w:val="Hyperlnk"/>
                <w:noProof/>
              </w:rPr>
              <w:t>1.</w:t>
            </w:r>
            <w:r w:rsidR="00C2704C">
              <w:rPr>
                <w:rFonts w:eastAsiaTheme="minorEastAsia"/>
                <w:noProof/>
                <w:lang w:eastAsia="sv-SE"/>
              </w:rPr>
              <w:tab/>
            </w:r>
            <w:r w:rsidR="00C2704C" w:rsidRPr="00702CFF">
              <w:rPr>
                <w:rStyle w:val="Hyperlnk"/>
                <w:noProof/>
              </w:rPr>
              <w:t>FRAC:s hållbarhetsarbete</w:t>
            </w:r>
            <w:r w:rsidR="00C2704C">
              <w:rPr>
                <w:noProof/>
                <w:webHidden/>
              </w:rPr>
              <w:tab/>
            </w:r>
            <w:r w:rsidR="00C2704C">
              <w:rPr>
                <w:noProof/>
                <w:webHidden/>
              </w:rPr>
              <w:fldChar w:fldCharType="begin"/>
            </w:r>
            <w:r w:rsidR="00C2704C">
              <w:rPr>
                <w:noProof/>
                <w:webHidden/>
              </w:rPr>
              <w:instrText xml:space="preserve"> PAGEREF _Toc34657523 \h </w:instrText>
            </w:r>
            <w:r w:rsidR="00C2704C">
              <w:rPr>
                <w:noProof/>
                <w:webHidden/>
              </w:rPr>
            </w:r>
            <w:r w:rsidR="00C2704C">
              <w:rPr>
                <w:noProof/>
                <w:webHidden/>
              </w:rPr>
              <w:fldChar w:fldCharType="separate"/>
            </w:r>
            <w:r w:rsidR="00C2704C">
              <w:rPr>
                <w:noProof/>
                <w:webHidden/>
              </w:rPr>
              <w:t>3</w:t>
            </w:r>
            <w:r w:rsidR="00C2704C">
              <w:rPr>
                <w:noProof/>
                <w:webHidden/>
              </w:rPr>
              <w:fldChar w:fldCharType="end"/>
            </w:r>
          </w:hyperlink>
        </w:p>
        <w:p w14:paraId="4E6921D4" w14:textId="77777777" w:rsidR="00C2704C" w:rsidRDefault="001A191B">
          <w:pPr>
            <w:pStyle w:val="Innehll2"/>
            <w:tabs>
              <w:tab w:val="left" w:pos="880"/>
              <w:tab w:val="right" w:leader="dot" w:pos="8715"/>
            </w:tabs>
            <w:rPr>
              <w:rFonts w:eastAsiaTheme="minorEastAsia"/>
              <w:noProof/>
              <w:lang w:eastAsia="sv-SE"/>
            </w:rPr>
          </w:pPr>
          <w:hyperlink w:anchor="_Toc34657524" w:history="1">
            <w:r w:rsidR="00C2704C" w:rsidRPr="00702CFF">
              <w:rPr>
                <w:rStyle w:val="Hyperlnk"/>
                <w:noProof/>
              </w:rPr>
              <w:t>1.1</w:t>
            </w:r>
            <w:r w:rsidR="00C2704C">
              <w:rPr>
                <w:rFonts w:eastAsiaTheme="minorEastAsia"/>
                <w:noProof/>
                <w:lang w:eastAsia="sv-SE"/>
              </w:rPr>
              <w:tab/>
            </w:r>
            <w:r w:rsidR="00C2704C" w:rsidRPr="00702CFF">
              <w:rPr>
                <w:rStyle w:val="Hyperlnk"/>
                <w:noProof/>
              </w:rPr>
              <w:t>Hållbarhetsåret 2019</w:t>
            </w:r>
            <w:r w:rsidR="00C2704C">
              <w:rPr>
                <w:noProof/>
                <w:webHidden/>
              </w:rPr>
              <w:tab/>
            </w:r>
            <w:r w:rsidR="00C2704C">
              <w:rPr>
                <w:noProof/>
                <w:webHidden/>
              </w:rPr>
              <w:fldChar w:fldCharType="begin"/>
            </w:r>
            <w:r w:rsidR="00C2704C">
              <w:rPr>
                <w:noProof/>
                <w:webHidden/>
              </w:rPr>
              <w:instrText xml:space="preserve"> PAGEREF _Toc34657524 \h </w:instrText>
            </w:r>
            <w:r w:rsidR="00C2704C">
              <w:rPr>
                <w:noProof/>
                <w:webHidden/>
              </w:rPr>
            </w:r>
            <w:r w:rsidR="00C2704C">
              <w:rPr>
                <w:noProof/>
                <w:webHidden/>
              </w:rPr>
              <w:fldChar w:fldCharType="separate"/>
            </w:r>
            <w:r w:rsidR="00C2704C">
              <w:rPr>
                <w:noProof/>
                <w:webHidden/>
              </w:rPr>
              <w:t>3</w:t>
            </w:r>
            <w:r w:rsidR="00C2704C">
              <w:rPr>
                <w:noProof/>
                <w:webHidden/>
              </w:rPr>
              <w:fldChar w:fldCharType="end"/>
            </w:r>
          </w:hyperlink>
        </w:p>
        <w:p w14:paraId="32439A82" w14:textId="77777777" w:rsidR="00C2704C" w:rsidRDefault="001A191B">
          <w:pPr>
            <w:pStyle w:val="Innehll2"/>
            <w:tabs>
              <w:tab w:val="left" w:pos="880"/>
              <w:tab w:val="right" w:leader="dot" w:pos="8715"/>
            </w:tabs>
            <w:rPr>
              <w:rFonts w:eastAsiaTheme="minorEastAsia"/>
              <w:noProof/>
              <w:lang w:eastAsia="sv-SE"/>
            </w:rPr>
          </w:pPr>
          <w:hyperlink w:anchor="_Toc34657525" w:history="1">
            <w:r w:rsidR="00C2704C" w:rsidRPr="00702CFF">
              <w:rPr>
                <w:rStyle w:val="Hyperlnk"/>
                <w:noProof/>
              </w:rPr>
              <w:t>1.2</w:t>
            </w:r>
            <w:r w:rsidR="00C2704C">
              <w:rPr>
                <w:rFonts w:eastAsiaTheme="minorEastAsia"/>
                <w:noProof/>
                <w:lang w:eastAsia="sv-SE"/>
              </w:rPr>
              <w:tab/>
            </w:r>
            <w:r w:rsidR="00C2704C" w:rsidRPr="00702CFF">
              <w:rPr>
                <w:rStyle w:val="Hyperlnk"/>
                <w:noProof/>
              </w:rPr>
              <w:t>Hertz vd-ord</w:t>
            </w:r>
            <w:r w:rsidR="00C2704C">
              <w:rPr>
                <w:noProof/>
                <w:webHidden/>
              </w:rPr>
              <w:tab/>
            </w:r>
            <w:r w:rsidR="00C2704C">
              <w:rPr>
                <w:noProof/>
                <w:webHidden/>
              </w:rPr>
              <w:fldChar w:fldCharType="begin"/>
            </w:r>
            <w:r w:rsidR="00C2704C">
              <w:rPr>
                <w:noProof/>
                <w:webHidden/>
              </w:rPr>
              <w:instrText xml:space="preserve"> PAGEREF _Toc34657525 \h </w:instrText>
            </w:r>
            <w:r w:rsidR="00C2704C">
              <w:rPr>
                <w:noProof/>
                <w:webHidden/>
              </w:rPr>
            </w:r>
            <w:r w:rsidR="00C2704C">
              <w:rPr>
                <w:noProof/>
                <w:webHidden/>
              </w:rPr>
              <w:fldChar w:fldCharType="separate"/>
            </w:r>
            <w:r w:rsidR="00C2704C">
              <w:rPr>
                <w:noProof/>
                <w:webHidden/>
              </w:rPr>
              <w:t>4</w:t>
            </w:r>
            <w:r w:rsidR="00C2704C">
              <w:rPr>
                <w:noProof/>
                <w:webHidden/>
              </w:rPr>
              <w:fldChar w:fldCharType="end"/>
            </w:r>
          </w:hyperlink>
        </w:p>
        <w:p w14:paraId="668B348E" w14:textId="77777777" w:rsidR="00C2704C" w:rsidRDefault="001A191B">
          <w:pPr>
            <w:pStyle w:val="Innehll2"/>
            <w:tabs>
              <w:tab w:val="left" w:pos="880"/>
              <w:tab w:val="right" w:leader="dot" w:pos="8715"/>
            </w:tabs>
            <w:rPr>
              <w:rFonts w:eastAsiaTheme="minorEastAsia"/>
              <w:noProof/>
              <w:lang w:eastAsia="sv-SE"/>
            </w:rPr>
          </w:pPr>
          <w:hyperlink w:anchor="_Toc34657526" w:history="1">
            <w:r w:rsidR="00C2704C" w:rsidRPr="00702CFF">
              <w:rPr>
                <w:rStyle w:val="Hyperlnk"/>
                <w:noProof/>
              </w:rPr>
              <w:t>1.3</w:t>
            </w:r>
            <w:r w:rsidR="00C2704C">
              <w:rPr>
                <w:rFonts w:eastAsiaTheme="minorEastAsia"/>
                <w:noProof/>
                <w:lang w:eastAsia="sv-SE"/>
              </w:rPr>
              <w:tab/>
            </w:r>
            <w:r w:rsidR="00C2704C" w:rsidRPr="00702CFF">
              <w:rPr>
                <w:rStyle w:val="Hyperlnk"/>
                <w:noProof/>
              </w:rPr>
              <w:t>Bilredas vd-ord</w:t>
            </w:r>
            <w:r w:rsidR="00C2704C">
              <w:rPr>
                <w:noProof/>
                <w:webHidden/>
              </w:rPr>
              <w:tab/>
            </w:r>
            <w:r w:rsidR="00C2704C">
              <w:rPr>
                <w:noProof/>
                <w:webHidden/>
              </w:rPr>
              <w:fldChar w:fldCharType="begin"/>
            </w:r>
            <w:r w:rsidR="00C2704C">
              <w:rPr>
                <w:noProof/>
                <w:webHidden/>
              </w:rPr>
              <w:instrText xml:space="preserve"> PAGEREF _Toc34657526 \h </w:instrText>
            </w:r>
            <w:r w:rsidR="00C2704C">
              <w:rPr>
                <w:noProof/>
                <w:webHidden/>
              </w:rPr>
            </w:r>
            <w:r w:rsidR="00C2704C">
              <w:rPr>
                <w:noProof/>
                <w:webHidden/>
              </w:rPr>
              <w:fldChar w:fldCharType="separate"/>
            </w:r>
            <w:r w:rsidR="00C2704C">
              <w:rPr>
                <w:noProof/>
                <w:webHidden/>
              </w:rPr>
              <w:t>5</w:t>
            </w:r>
            <w:r w:rsidR="00C2704C">
              <w:rPr>
                <w:noProof/>
                <w:webHidden/>
              </w:rPr>
              <w:fldChar w:fldCharType="end"/>
            </w:r>
          </w:hyperlink>
        </w:p>
        <w:p w14:paraId="056C28CC" w14:textId="77777777" w:rsidR="00C2704C" w:rsidRDefault="001A191B">
          <w:pPr>
            <w:pStyle w:val="Innehll2"/>
            <w:tabs>
              <w:tab w:val="left" w:pos="880"/>
              <w:tab w:val="right" w:leader="dot" w:pos="8715"/>
            </w:tabs>
            <w:rPr>
              <w:rFonts w:eastAsiaTheme="minorEastAsia"/>
              <w:noProof/>
              <w:lang w:eastAsia="sv-SE"/>
            </w:rPr>
          </w:pPr>
          <w:hyperlink w:anchor="_Toc34657527" w:history="1">
            <w:r w:rsidR="00C2704C" w:rsidRPr="00702CFF">
              <w:rPr>
                <w:rStyle w:val="Hyperlnk"/>
                <w:noProof/>
              </w:rPr>
              <w:t>1.4</w:t>
            </w:r>
            <w:r w:rsidR="00C2704C">
              <w:rPr>
                <w:rFonts w:eastAsiaTheme="minorEastAsia"/>
                <w:noProof/>
                <w:lang w:eastAsia="sv-SE"/>
              </w:rPr>
              <w:tab/>
            </w:r>
            <w:r w:rsidR="00C2704C" w:rsidRPr="00702CFF">
              <w:rPr>
                <w:rStyle w:val="Hyperlnk"/>
                <w:noProof/>
              </w:rPr>
              <w:t>Styrning av hållbarhetsarbetet</w:t>
            </w:r>
            <w:r w:rsidR="00C2704C">
              <w:rPr>
                <w:noProof/>
                <w:webHidden/>
              </w:rPr>
              <w:tab/>
            </w:r>
            <w:r w:rsidR="00C2704C">
              <w:rPr>
                <w:noProof/>
                <w:webHidden/>
              </w:rPr>
              <w:fldChar w:fldCharType="begin"/>
            </w:r>
            <w:r w:rsidR="00C2704C">
              <w:rPr>
                <w:noProof/>
                <w:webHidden/>
              </w:rPr>
              <w:instrText xml:space="preserve"> PAGEREF _Toc34657527 \h </w:instrText>
            </w:r>
            <w:r w:rsidR="00C2704C">
              <w:rPr>
                <w:noProof/>
                <w:webHidden/>
              </w:rPr>
            </w:r>
            <w:r w:rsidR="00C2704C">
              <w:rPr>
                <w:noProof/>
                <w:webHidden/>
              </w:rPr>
              <w:fldChar w:fldCharType="separate"/>
            </w:r>
            <w:r w:rsidR="00C2704C">
              <w:rPr>
                <w:noProof/>
                <w:webHidden/>
              </w:rPr>
              <w:t>5</w:t>
            </w:r>
            <w:r w:rsidR="00C2704C">
              <w:rPr>
                <w:noProof/>
                <w:webHidden/>
              </w:rPr>
              <w:fldChar w:fldCharType="end"/>
            </w:r>
          </w:hyperlink>
        </w:p>
        <w:p w14:paraId="2165BB3B" w14:textId="77777777" w:rsidR="00C2704C" w:rsidRDefault="001A191B">
          <w:pPr>
            <w:pStyle w:val="Innehll3"/>
            <w:tabs>
              <w:tab w:val="right" w:leader="dot" w:pos="8715"/>
            </w:tabs>
            <w:rPr>
              <w:rFonts w:eastAsiaTheme="minorEastAsia"/>
              <w:noProof/>
              <w:lang w:eastAsia="sv-SE"/>
            </w:rPr>
          </w:pPr>
          <w:hyperlink w:anchor="_Toc34657528" w:history="1">
            <w:r w:rsidR="00C2704C" w:rsidRPr="00702CFF">
              <w:rPr>
                <w:rStyle w:val="Hyperlnk"/>
                <w:noProof/>
              </w:rPr>
              <w:t>1.5.1 Bolagsstyrning</w:t>
            </w:r>
            <w:r w:rsidR="00C2704C">
              <w:rPr>
                <w:noProof/>
                <w:webHidden/>
              </w:rPr>
              <w:tab/>
            </w:r>
            <w:r w:rsidR="00C2704C">
              <w:rPr>
                <w:noProof/>
                <w:webHidden/>
              </w:rPr>
              <w:fldChar w:fldCharType="begin"/>
            </w:r>
            <w:r w:rsidR="00C2704C">
              <w:rPr>
                <w:noProof/>
                <w:webHidden/>
              </w:rPr>
              <w:instrText xml:space="preserve"> PAGEREF _Toc34657528 \h </w:instrText>
            </w:r>
            <w:r w:rsidR="00C2704C">
              <w:rPr>
                <w:noProof/>
                <w:webHidden/>
              </w:rPr>
            </w:r>
            <w:r w:rsidR="00C2704C">
              <w:rPr>
                <w:noProof/>
                <w:webHidden/>
              </w:rPr>
              <w:fldChar w:fldCharType="separate"/>
            </w:r>
            <w:r w:rsidR="00C2704C">
              <w:rPr>
                <w:noProof/>
                <w:webHidden/>
              </w:rPr>
              <w:t>5</w:t>
            </w:r>
            <w:r w:rsidR="00C2704C">
              <w:rPr>
                <w:noProof/>
                <w:webHidden/>
              </w:rPr>
              <w:fldChar w:fldCharType="end"/>
            </w:r>
          </w:hyperlink>
        </w:p>
        <w:p w14:paraId="56CC84D9" w14:textId="77777777" w:rsidR="00C2704C" w:rsidRDefault="001A191B">
          <w:pPr>
            <w:pStyle w:val="Innehll2"/>
            <w:tabs>
              <w:tab w:val="left" w:pos="880"/>
              <w:tab w:val="right" w:leader="dot" w:pos="8715"/>
            </w:tabs>
            <w:rPr>
              <w:rFonts w:eastAsiaTheme="minorEastAsia"/>
              <w:noProof/>
              <w:lang w:eastAsia="sv-SE"/>
            </w:rPr>
          </w:pPr>
          <w:hyperlink w:anchor="_Toc34657529" w:history="1">
            <w:r w:rsidR="00C2704C" w:rsidRPr="00702CFF">
              <w:rPr>
                <w:rStyle w:val="Hyperlnk"/>
                <w:noProof/>
              </w:rPr>
              <w:t>1.5</w:t>
            </w:r>
            <w:r w:rsidR="00C2704C">
              <w:rPr>
                <w:rFonts w:eastAsiaTheme="minorEastAsia"/>
                <w:noProof/>
                <w:lang w:eastAsia="sv-SE"/>
              </w:rPr>
              <w:tab/>
            </w:r>
            <w:r w:rsidR="00C2704C" w:rsidRPr="00702CFF">
              <w:rPr>
                <w:rStyle w:val="Hyperlnk"/>
                <w:noProof/>
              </w:rPr>
              <w:t>Fokus på väsentliga hållbarhetsområden</w:t>
            </w:r>
            <w:r w:rsidR="00C2704C">
              <w:rPr>
                <w:noProof/>
                <w:webHidden/>
              </w:rPr>
              <w:tab/>
            </w:r>
            <w:r w:rsidR="00C2704C">
              <w:rPr>
                <w:noProof/>
                <w:webHidden/>
              </w:rPr>
              <w:fldChar w:fldCharType="begin"/>
            </w:r>
            <w:r w:rsidR="00C2704C">
              <w:rPr>
                <w:noProof/>
                <w:webHidden/>
              </w:rPr>
              <w:instrText xml:space="preserve"> PAGEREF _Toc34657529 \h </w:instrText>
            </w:r>
            <w:r w:rsidR="00C2704C">
              <w:rPr>
                <w:noProof/>
                <w:webHidden/>
              </w:rPr>
            </w:r>
            <w:r w:rsidR="00C2704C">
              <w:rPr>
                <w:noProof/>
                <w:webHidden/>
              </w:rPr>
              <w:fldChar w:fldCharType="separate"/>
            </w:r>
            <w:r w:rsidR="00C2704C">
              <w:rPr>
                <w:noProof/>
                <w:webHidden/>
              </w:rPr>
              <w:t>6</w:t>
            </w:r>
            <w:r w:rsidR="00C2704C">
              <w:rPr>
                <w:noProof/>
                <w:webHidden/>
              </w:rPr>
              <w:fldChar w:fldCharType="end"/>
            </w:r>
          </w:hyperlink>
        </w:p>
        <w:p w14:paraId="7F115E6E" w14:textId="77777777" w:rsidR="00C2704C" w:rsidRDefault="001A191B">
          <w:pPr>
            <w:pStyle w:val="Innehll3"/>
            <w:tabs>
              <w:tab w:val="left" w:pos="1320"/>
              <w:tab w:val="right" w:leader="dot" w:pos="8715"/>
            </w:tabs>
            <w:rPr>
              <w:rFonts w:eastAsiaTheme="minorEastAsia"/>
              <w:noProof/>
              <w:lang w:eastAsia="sv-SE"/>
            </w:rPr>
          </w:pPr>
          <w:hyperlink w:anchor="_Toc34657530" w:history="1">
            <w:r w:rsidR="00C2704C" w:rsidRPr="00702CFF">
              <w:rPr>
                <w:rStyle w:val="Hyperlnk"/>
                <w:noProof/>
              </w:rPr>
              <w:t>1.5.1</w:t>
            </w:r>
            <w:r w:rsidR="00C2704C">
              <w:rPr>
                <w:rFonts w:eastAsiaTheme="minorEastAsia"/>
                <w:noProof/>
                <w:lang w:eastAsia="sv-SE"/>
              </w:rPr>
              <w:tab/>
            </w:r>
            <w:r w:rsidR="00C2704C" w:rsidRPr="00702CFF">
              <w:rPr>
                <w:rStyle w:val="Hyperlnk"/>
                <w:noProof/>
              </w:rPr>
              <w:t>Möjligheter</w:t>
            </w:r>
            <w:r w:rsidR="00C2704C">
              <w:rPr>
                <w:noProof/>
                <w:webHidden/>
              </w:rPr>
              <w:tab/>
            </w:r>
            <w:r w:rsidR="00C2704C">
              <w:rPr>
                <w:noProof/>
                <w:webHidden/>
              </w:rPr>
              <w:fldChar w:fldCharType="begin"/>
            </w:r>
            <w:r w:rsidR="00C2704C">
              <w:rPr>
                <w:noProof/>
                <w:webHidden/>
              </w:rPr>
              <w:instrText xml:space="preserve"> PAGEREF _Toc34657530 \h </w:instrText>
            </w:r>
            <w:r w:rsidR="00C2704C">
              <w:rPr>
                <w:noProof/>
                <w:webHidden/>
              </w:rPr>
            </w:r>
            <w:r w:rsidR="00C2704C">
              <w:rPr>
                <w:noProof/>
                <w:webHidden/>
              </w:rPr>
              <w:fldChar w:fldCharType="separate"/>
            </w:r>
            <w:r w:rsidR="00C2704C">
              <w:rPr>
                <w:noProof/>
                <w:webHidden/>
              </w:rPr>
              <w:t>6</w:t>
            </w:r>
            <w:r w:rsidR="00C2704C">
              <w:rPr>
                <w:noProof/>
                <w:webHidden/>
              </w:rPr>
              <w:fldChar w:fldCharType="end"/>
            </w:r>
          </w:hyperlink>
        </w:p>
        <w:p w14:paraId="5860ADDA" w14:textId="77777777" w:rsidR="00C2704C" w:rsidRDefault="001A191B">
          <w:pPr>
            <w:pStyle w:val="Innehll3"/>
            <w:tabs>
              <w:tab w:val="left" w:pos="1320"/>
              <w:tab w:val="right" w:leader="dot" w:pos="8715"/>
            </w:tabs>
            <w:rPr>
              <w:rFonts w:eastAsiaTheme="minorEastAsia"/>
              <w:noProof/>
              <w:lang w:eastAsia="sv-SE"/>
            </w:rPr>
          </w:pPr>
          <w:hyperlink w:anchor="_Toc34657531" w:history="1">
            <w:r w:rsidR="00C2704C" w:rsidRPr="00702CFF">
              <w:rPr>
                <w:rStyle w:val="Hyperlnk"/>
                <w:noProof/>
              </w:rPr>
              <w:t>1.5.2</w:t>
            </w:r>
            <w:r w:rsidR="00C2704C">
              <w:rPr>
                <w:rFonts w:eastAsiaTheme="minorEastAsia"/>
                <w:noProof/>
                <w:lang w:eastAsia="sv-SE"/>
              </w:rPr>
              <w:tab/>
            </w:r>
            <w:r w:rsidR="00C2704C" w:rsidRPr="00702CFF">
              <w:rPr>
                <w:rStyle w:val="Hyperlnk"/>
                <w:noProof/>
              </w:rPr>
              <w:t>Risker</w:t>
            </w:r>
            <w:r w:rsidR="00C2704C">
              <w:rPr>
                <w:noProof/>
                <w:webHidden/>
              </w:rPr>
              <w:tab/>
            </w:r>
            <w:r w:rsidR="00C2704C">
              <w:rPr>
                <w:noProof/>
                <w:webHidden/>
              </w:rPr>
              <w:fldChar w:fldCharType="begin"/>
            </w:r>
            <w:r w:rsidR="00C2704C">
              <w:rPr>
                <w:noProof/>
                <w:webHidden/>
              </w:rPr>
              <w:instrText xml:space="preserve"> PAGEREF _Toc34657531 \h </w:instrText>
            </w:r>
            <w:r w:rsidR="00C2704C">
              <w:rPr>
                <w:noProof/>
                <w:webHidden/>
              </w:rPr>
            </w:r>
            <w:r w:rsidR="00C2704C">
              <w:rPr>
                <w:noProof/>
                <w:webHidden/>
              </w:rPr>
              <w:fldChar w:fldCharType="separate"/>
            </w:r>
            <w:r w:rsidR="00C2704C">
              <w:rPr>
                <w:noProof/>
                <w:webHidden/>
              </w:rPr>
              <w:t>6</w:t>
            </w:r>
            <w:r w:rsidR="00C2704C">
              <w:rPr>
                <w:noProof/>
                <w:webHidden/>
              </w:rPr>
              <w:fldChar w:fldCharType="end"/>
            </w:r>
          </w:hyperlink>
        </w:p>
        <w:p w14:paraId="0FFA62D5" w14:textId="77777777" w:rsidR="00C2704C" w:rsidRDefault="001A191B">
          <w:pPr>
            <w:pStyle w:val="Innehll3"/>
            <w:tabs>
              <w:tab w:val="left" w:pos="1320"/>
              <w:tab w:val="right" w:leader="dot" w:pos="8715"/>
            </w:tabs>
            <w:rPr>
              <w:rFonts w:eastAsiaTheme="minorEastAsia"/>
              <w:noProof/>
              <w:lang w:eastAsia="sv-SE"/>
            </w:rPr>
          </w:pPr>
          <w:hyperlink w:anchor="_Toc34657532" w:history="1">
            <w:r w:rsidR="00C2704C" w:rsidRPr="00702CFF">
              <w:rPr>
                <w:rStyle w:val="Hyperlnk"/>
                <w:noProof/>
              </w:rPr>
              <w:t>1.5.3</w:t>
            </w:r>
            <w:r w:rsidR="00C2704C">
              <w:rPr>
                <w:rFonts w:eastAsiaTheme="minorEastAsia"/>
                <w:noProof/>
                <w:lang w:eastAsia="sv-SE"/>
              </w:rPr>
              <w:tab/>
            </w:r>
            <w:r w:rsidR="00C2704C" w:rsidRPr="00702CFF">
              <w:rPr>
                <w:rStyle w:val="Hyperlnk"/>
                <w:noProof/>
              </w:rPr>
              <w:t>Intressenter</w:t>
            </w:r>
            <w:r w:rsidR="00C2704C">
              <w:rPr>
                <w:noProof/>
                <w:webHidden/>
              </w:rPr>
              <w:tab/>
            </w:r>
            <w:r w:rsidR="00C2704C">
              <w:rPr>
                <w:noProof/>
                <w:webHidden/>
              </w:rPr>
              <w:fldChar w:fldCharType="begin"/>
            </w:r>
            <w:r w:rsidR="00C2704C">
              <w:rPr>
                <w:noProof/>
                <w:webHidden/>
              </w:rPr>
              <w:instrText xml:space="preserve"> PAGEREF _Toc34657532 \h </w:instrText>
            </w:r>
            <w:r w:rsidR="00C2704C">
              <w:rPr>
                <w:noProof/>
                <w:webHidden/>
              </w:rPr>
            </w:r>
            <w:r w:rsidR="00C2704C">
              <w:rPr>
                <w:noProof/>
                <w:webHidden/>
              </w:rPr>
              <w:fldChar w:fldCharType="separate"/>
            </w:r>
            <w:r w:rsidR="00C2704C">
              <w:rPr>
                <w:noProof/>
                <w:webHidden/>
              </w:rPr>
              <w:t>7</w:t>
            </w:r>
            <w:r w:rsidR="00C2704C">
              <w:rPr>
                <w:noProof/>
                <w:webHidden/>
              </w:rPr>
              <w:fldChar w:fldCharType="end"/>
            </w:r>
          </w:hyperlink>
        </w:p>
        <w:p w14:paraId="13AE48AB" w14:textId="77777777" w:rsidR="00C2704C" w:rsidRDefault="001A191B">
          <w:pPr>
            <w:pStyle w:val="Innehll1"/>
            <w:tabs>
              <w:tab w:val="left" w:pos="440"/>
              <w:tab w:val="right" w:leader="dot" w:pos="8715"/>
            </w:tabs>
            <w:rPr>
              <w:rFonts w:eastAsiaTheme="minorEastAsia"/>
              <w:noProof/>
              <w:lang w:eastAsia="sv-SE"/>
            </w:rPr>
          </w:pPr>
          <w:hyperlink w:anchor="_Toc34657533" w:history="1">
            <w:r w:rsidR="00C2704C" w:rsidRPr="00702CFF">
              <w:rPr>
                <w:rStyle w:val="Hyperlnk"/>
                <w:noProof/>
              </w:rPr>
              <w:t>2.</w:t>
            </w:r>
            <w:r w:rsidR="00C2704C">
              <w:rPr>
                <w:rFonts w:eastAsiaTheme="minorEastAsia"/>
                <w:noProof/>
                <w:lang w:eastAsia="sv-SE"/>
              </w:rPr>
              <w:tab/>
            </w:r>
            <w:r w:rsidR="00C2704C" w:rsidRPr="00702CFF">
              <w:rPr>
                <w:rStyle w:val="Hyperlnk"/>
                <w:noProof/>
              </w:rPr>
              <w:t>Våra fokusområden</w:t>
            </w:r>
            <w:r w:rsidR="00C2704C">
              <w:rPr>
                <w:noProof/>
                <w:webHidden/>
              </w:rPr>
              <w:tab/>
            </w:r>
            <w:r w:rsidR="00C2704C">
              <w:rPr>
                <w:noProof/>
                <w:webHidden/>
              </w:rPr>
              <w:fldChar w:fldCharType="begin"/>
            </w:r>
            <w:r w:rsidR="00C2704C">
              <w:rPr>
                <w:noProof/>
                <w:webHidden/>
              </w:rPr>
              <w:instrText xml:space="preserve"> PAGEREF _Toc34657533 \h </w:instrText>
            </w:r>
            <w:r w:rsidR="00C2704C">
              <w:rPr>
                <w:noProof/>
                <w:webHidden/>
              </w:rPr>
            </w:r>
            <w:r w:rsidR="00C2704C">
              <w:rPr>
                <w:noProof/>
                <w:webHidden/>
              </w:rPr>
              <w:fldChar w:fldCharType="separate"/>
            </w:r>
            <w:r w:rsidR="00C2704C">
              <w:rPr>
                <w:noProof/>
                <w:webHidden/>
              </w:rPr>
              <w:t>8</w:t>
            </w:r>
            <w:r w:rsidR="00C2704C">
              <w:rPr>
                <w:noProof/>
                <w:webHidden/>
              </w:rPr>
              <w:fldChar w:fldCharType="end"/>
            </w:r>
          </w:hyperlink>
        </w:p>
        <w:p w14:paraId="20267FF2" w14:textId="77777777" w:rsidR="00C2704C" w:rsidRDefault="001A191B">
          <w:pPr>
            <w:pStyle w:val="Innehll2"/>
            <w:tabs>
              <w:tab w:val="left" w:pos="880"/>
              <w:tab w:val="right" w:leader="dot" w:pos="8715"/>
            </w:tabs>
            <w:rPr>
              <w:rFonts w:eastAsiaTheme="minorEastAsia"/>
              <w:noProof/>
              <w:lang w:eastAsia="sv-SE"/>
            </w:rPr>
          </w:pPr>
          <w:hyperlink w:anchor="_Toc34657534" w:history="1">
            <w:r w:rsidR="00C2704C" w:rsidRPr="00702CFF">
              <w:rPr>
                <w:rStyle w:val="Hyperlnk"/>
                <w:noProof/>
              </w:rPr>
              <w:t>2.1</w:t>
            </w:r>
            <w:r w:rsidR="00C2704C">
              <w:rPr>
                <w:rFonts w:eastAsiaTheme="minorEastAsia"/>
                <w:noProof/>
                <w:lang w:eastAsia="sv-SE"/>
              </w:rPr>
              <w:tab/>
            </w:r>
            <w:r w:rsidR="00C2704C" w:rsidRPr="00702CFF">
              <w:rPr>
                <w:rStyle w:val="Hyperlnk"/>
                <w:noProof/>
              </w:rPr>
              <w:t>Ekonomiskt ansvar</w:t>
            </w:r>
            <w:r w:rsidR="00C2704C">
              <w:rPr>
                <w:noProof/>
                <w:webHidden/>
              </w:rPr>
              <w:tab/>
            </w:r>
            <w:r w:rsidR="00C2704C">
              <w:rPr>
                <w:noProof/>
                <w:webHidden/>
              </w:rPr>
              <w:fldChar w:fldCharType="begin"/>
            </w:r>
            <w:r w:rsidR="00C2704C">
              <w:rPr>
                <w:noProof/>
                <w:webHidden/>
              </w:rPr>
              <w:instrText xml:space="preserve"> PAGEREF _Toc34657534 \h </w:instrText>
            </w:r>
            <w:r w:rsidR="00C2704C">
              <w:rPr>
                <w:noProof/>
                <w:webHidden/>
              </w:rPr>
            </w:r>
            <w:r w:rsidR="00C2704C">
              <w:rPr>
                <w:noProof/>
                <w:webHidden/>
              </w:rPr>
              <w:fldChar w:fldCharType="separate"/>
            </w:r>
            <w:r w:rsidR="00C2704C">
              <w:rPr>
                <w:noProof/>
                <w:webHidden/>
              </w:rPr>
              <w:t>8</w:t>
            </w:r>
            <w:r w:rsidR="00C2704C">
              <w:rPr>
                <w:noProof/>
                <w:webHidden/>
              </w:rPr>
              <w:fldChar w:fldCharType="end"/>
            </w:r>
          </w:hyperlink>
        </w:p>
        <w:p w14:paraId="000726C2" w14:textId="77777777" w:rsidR="00C2704C" w:rsidRDefault="001A191B">
          <w:pPr>
            <w:pStyle w:val="Innehll2"/>
            <w:tabs>
              <w:tab w:val="left" w:pos="880"/>
              <w:tab w:val="right" w:leader="dot" w:pos="8715"/>
            </w:tabs>
            <w:rPr>
              <w:rFonts w:eastAsiaTheme="minorEastAsia"/>
              <w:noProof/>
              <w:lang w:eastAsia="sv-SE"/>
            </w:rPr>
          </w:pPr>
          <w:hyperlink w:anchor="_Toc34657535" w:history="1">
            <w:r w:rsidR="00C2704C" w:rsidRPr="00702CFF">
              <w:rPr>
                <w:rStyle w:val="Hyperlnk"/>
                <w:noProof/>
              </w:rPr>
              <w:t>2.2</w:t>
            </w:r>
            <w:r w:rsidR="00C2704C">
              <w:rPr>
                <w:rFonts w:eastAsiaTheme="minorEastAsia"/>
                <w:noProof/>
                <w:lang w:eastAsia="sv-SE"/>
              </w:rPr>
              <w:tab/>
            </w:r>
            <w:r w:rsidR="00C2704C" w:rsidRPr="00702CFF">
              <w:rPr>
                <w:rStyle w:val="Hyperlnk"/>
                <w:noProof/>
              </w:rPr>
              <w:t>Miljöansvar</w:t>
            </w:r>
            <w:r w:rsidR="00C2704C">
              <w:rPr>
                <w:noProof/>
                <w:webHidden/>
              </w:rPr>
              <w:tab/>
            </w:r>
            <w:r w:rsidR="00C2704C">
              <w:rPr>
                <w:noProof/>
                <w:webHidden/>
              </w:rPr>
              <w:fldChar w:fldCharType="begin"/>
            </w:r>
            <w:r w:rsidR="00C2704C">
              <w:rPr>
                <w:noProof/>
                <w:webHidden/>
              </w:rPr>
              <w:instrText xml:space="preserve"> PAGEREF _Toc34657535 \h </w:instrText>
            </w:r>
            <w:r w:rsidR="00C2704C">
              <w:rPr>
                <w:noProof/>
                <w:webHidden/>
              </w:rPr>
            </w:r>
            <w:r w:rsidR="00C2704C">
              <w:rPr>
                <w:noProof/>
                <w:webHidden/>
              </w:rPr>
              <w:fldChar w:fldCharType="separate"/>
            </w:r>
            <w:r w:rsidR="00C2704C">
              <w:rPr>
                <w:noProof/>
                <w:webHidden/>
              </w:rPr>
              <w:t>8</w:t>
            </w:r>
            <w:r w:rsidR="00C2704C">
              <w:rPr>
                <w:noProof/>
                <w:webHidden/>
              </w:rPr>
              <w:fldChar w:fldCharType="end"/>
            </w:r>
          </w:hyperlink>
        </w:p>
        <w:p w14:paraId="2D668AAA" w14:textId="77777777" w:rsidR="00C2704C" w:rsidRDefault="001A191B">
          <w:pPr>
            <w:pStyle w:val="Innehll3"/>
            <w:tabs>
              <w:tab w:val="left" w:pos="1320"/>
              <w:tab w:val="right" w:leader="dot" w:pos="8715"/>
            </w:tabs>
            <w:rPr>
              <w:rFonts w:eastAsiaTheme="minorEastAsia"/>
              <w:noProof/>
              <w:lang w:eastAsia="sv-SE"/>
            </w:rPr>
          </w:pPr>
          <w:hyperlink w:anchor="_Toc34657536" w:history="1">
            <w:r w:rsidR="00C2704C" w:rsidRPr="00702CFF">
              <w:rPr>
                <w:rStyle w:val="Hyperlnk"/>
                <w:noProof/>
              </w:rPr>
              <w:t>2.2.1</w:t>
            </w:r>
            <w:r w:rsidR="00C2704C">
              <w:rPr>
                <w:rFonts w:eastAsiaTheme="minorEastAsia"/>
                <w:noProof/>
                <w:lang w:eastAsia="sv-SE"/>
              </w:rPr>
              <w:tab/>
            </w:r>
            <w:r w:rsidR="00C2704C" w:rsidRPr="00702CFF">
              <w:rPr>
                <w:rStyle w:val="Hyperlnk"/>
                <w:noProof/>
              </w:rPr>
              <w:t>Miljömål</w:t>
            </w:r>
            <w:r w:rsidR="00C2704C">
              <w:rPr>
                <w:noProof/>
                <w:webHidden/>
              </w:rPr>
              <w:tab/>
            </w:r>
            <w:r w:rsidR="00C2704C">
              <w:rPr>
                <w:noProof/>
                <w:webHidden/>
              </w:rPr>
              <w:fldChar w:fldCharType="begin"/>
            </w:r>
            <w:r w:rsidR="00C2704C">
              <w:rPr>
                <w:noProof/>
                <w:webHidden/>
              </w:rPr>
              <w:instrText xml:space="preserve"> PAGEREF _Toc34657536 \h </w:instrText>
            </w:r>
            <w:r w:rsidR="00C2704C">
              <w:rPr>
                <w:noProof/>
                <w:webHidden/>
              </w:rPr>
            </w:r>
            <w:r w:rsidR="00C2704C">
              <w:rPr>
                <w:noProof/>
                <w:webHidden/>
              </w:rPr>
              <w:fldChar w:fldCharType="separate"/>
            </w:r>
            <w:r w:rsidR="00C2704C">
              <w:rPr>
                <w:noProof/>
                <w:webHidden/>
              </w:rPr>
              <w:t>9</w:t>
            </w:r>
            <w:r w:rsidR="00C2704C">
              <w:rPr>
                <w:noProof/>
                <w:webHidden/>
              </w:rPr>
              <w:fldChar w:fldCharType="end"/>
            </w:r>
          </w:hyperlink>
        </w:p>
        <w:p w14:paraId="51E25959" w14:textId="77777777" w:rsidR="00C2704C" w:rsidRDefault="001A191B">
          <w:pPr>
            <w:pStyle w:val="Innehll3"/>
            <w:tabs>
              <w:tab w:val="left" w:pos="1320"/>
              <w:tab w:val="right" w:leader="dot" w:pos="8715"/>
            </w:tabs>
            <w:rPr>
              <w:rFonts w:eastAsiaTheme="minorEastAsia"/>
              <w:noProof/>
              <w:lang w:eastAsia="sv-SE"/>
            </w:rPr>
          </w:pPr>
          <w:hyperlink w:anchor="_Toc34657537" w:history="1">
            <w:r w:rsidR="00C2704C" w:rsidRPr="00702CFF">
              <w:rPr>
                <w:rStyle w:val="Hyperlnk"/>
                <w:noProof/>
              </w:rPr>
              <w:t>2.2.2</w:t>
            </w:r>
            <w:r w:rsidR="00C2704C">
              <w:rPr>
                <w:rFonts w:eastAsiaTheme="minorEastAsia"/>
                <w:noProof/>
                <w:lang w:eastAsia="sv-SE"/>
              </w:rPr>
              <w:tab/>
            </w:r>
            <w:r w:rsidR="00C2704C" w:rsidRPr="00702CFF">
              <w:rPr>
                <w:rStyle w:val="Hyperlnk"/>
                <w:noProof/>
              </w:rPr>
              <w:t>Internt miljöarbete</w:t>
            </w:r>
            <w:r w:rsidR="00C2704C">
              <w:rPr>
                <w:noProof/>
                <w:webHidden/>
              </w:rPr>
              <w:tab/>
            </w:r>
            <w:r w:rsidR="00C2704C">
              <w:rPr>
                <w:noProof/>
                <w:webHidden/>
              </w:rPr>
              <w:fldChar w:fldCharType="begin"/>
            </w:r>
            <w:r w:rsidR="00C2704C">
              <w:rPr>
                <w:noProof/>
                <w:webHidden/>
              </w:rPr>
              <w:instrText xml:space="preserve"> PAGEREF _Toc34657537 \h </w:instrText>
            </w:r>
            <w:r w:rsidR="00C2704C">
              <w:rPr>
                <w:noProof/>
                <w:webHidden/>
              </w:rPr>
            </w:r>
            <w:r w:rsidR="00C2704C">
              <w:rPr>
                <w:noProof/>
                <w:webHidden/>
              </w:rPr>
              <w:fldChar w:fldCharType="separate"/>
            </w:r>
            <w:r w:rsidR="00C2704C">
              <w:rPr>
                <w:noProof/>
                <w:webHidden/>
              </w:rPr>
              <w:t>9</w:t>
            </w:r>
            <w:r w:rsidR="00C2704C">
              <w:rPr>
                <w:noProof/>
                <w:webHidden/>
              </w:rPr>
              <w:fldChar w:fldCharType="end"/>
            </w:r>
          </w:hyperlink>
        </w:p>
        <w:p w14:paraId="738A9EA5" w14:textId="77777777" w:rsidR="00C2704C" w:rsidRDefault="001A191B">
          <w:pPr>
            <w:pStyle w:val="Innehll2"/>
            <w:tabs>
              <w:tab w:val="left" w:pos="880"/>
              <w:tab w:val="right" w:leader="dot" w:pos="8715"/>
            </w:tabs>
            <w:rPr>
              <w:rFonts w:eastAsiaTheme="minorEastAsia"/>
              <w:noProof/>
              <w:lang w:eastAsia="sv-SE"/>
            </w:rPr>
          </w:pPr>
          <w:hyperlink w:anchor="_Toc34657538" w:history="1">
            <w:r w:rsidR="00C2704C" w:rsidRPr="00702CFF">
              <w:rPr>
                <w:rStyle w:val="Hyperlnk"/>
                <w:noProof/>
              </w:rPr>
              <w:t>2.3</w:t>
            </w:r>
            <w:r w:rsidR="00C2704C">
              <w:rPr>
                <w:rFonts w:eastAsiaTheme="minorEastAsia"/>
                <w:noProof/>
                <w:lang w:eastAsia="sv-SE"/>
              </w:rPr>
              <w:tab/>
            </w:r>
            <w:r w:rsidR="00C2704C" w:rsidRPr="00702CFF">
              <w:rPr>
                <w:rStyle w:val="Hyperlnk"/>
                <w:noProof/>
              </w:rPr>
              <w:t>Socialt ansvar</w:t>
            </w:r>
            <w:r w:rsidR="00C2704C">
              <w:rPr>
                <w:noProof/>
                <w:webHidden/>
              </w:rPr>
              <w:tab/>
            </w:r>
            <w:r w:rsidR="00C2704C">
              <w:rPr>
                <w:noProof/>
                <w:webHidden/>
              </w:rPr>
              <w:fldChar w:fldCharType="begin"/>
            </w:r>
            <w:r w:rsidR="00C2704C">
              <w:rPr>
                <w:noProof/>
                <w:webHidden/>
              </w:rPr>
              <w:instrText xml:space="preserve"> PAGEREF _Toc34657538 \h </w:instrText>
            </w:r>
            <w:r w:rsidR="00C2704C">
              <w:rPr>
                <w:noProof/>
                <w:webHidden/>
              </w:rPr>
            </w:r>
            <w:r w:rsidR="00C2704C">
              <w:rPr>
                <w:noProof/>
                <w:webHidden/>
              </w:rPr>
              <w:fldChar w:fldCharType="separate"/>
            </w:r>
            <w:r w:rsidR="00C2704C">
              <w:rPr>
                <w:noProof/>
                <w:webHidden/>
              </w:rPr>
              <w:t>11</w:t>
            </w:r>
            <w:r w:rsidR="00C2704C">
              <w:rPr>
                <w:noProof/>
                <w:webHidden/>
              </w:rPr>
              <w:fldChar w:fldCharType="end"/>
            </w:r>
          </w:hyperlink>
        </w:p>
        <w:p w14:paraId="27F50EB0" w14:textId="77777777" w:rsidR="00C2704C" w:rsidRDefault="001A191B">
          <w:pPr>
            <w:pStyle w:val="Innehll3"/>
            <w:tabs>
              <w:tab w:val="left" w:pos="1320"/>
              <w:tab w:val="right" w:leader="dot" w:pos="8715"/>
            </w:tabs>
            <w:rPr>
              <w:rFonts w:eastAsiaTheme="minorEastAsia"/>
              <w:noProof/>
              <w:lang w:eastAsia="sv-SE"/>
            </w:rPr>
          </w:pPr>
          <w:hyperlink w:anchor="_Toc34657539" w:history="1">
            <w:r w:rsidR="00C2704C" w:rsidRPr="00702CFF">
              <w:rPr>
                <w:rStyle w:val="Hyperlnk"/>
                <w:noProof/>
              </w:rPr>
              <w:t>2.3.1</w:t>
            </w:r>
            <w:r w:rsidR="00C2704C">
              <w:rPr>
                <w:rFonts w:eastAsiaTheme="minorEastAsia"/>
                <w:noProof/>
                <w:lang w:eastAsia="sv-SE"/>
              </w:rPr>
              <w:tab/>
            </w:r>
            <w:r w:rsidR="00C2704C" w:rsidRPr="00702CFF">
              <w:rPr>
                <w:rStyle w:val="Hyperlnk"/>
                <w:noProof/>
              </w:rPr>
              <w:t>Medarbetarna</w:t>
            </w:r>
            <w:r w:rsidR="00C2704C">
              <w:rPr>
                <w:noProof/>
                <w:webHidden/>
              </w:rPr>
              <w:tab/>
            </w:r>
            <w:r w:rsidR="00C2704C">
              <w:rPr>
                <w:noProof/>
                <w:webHidden/>
              </w:rPr>
              <w:fldChar w:fldCharType="begin"/>
            </w:r>
            <w:r w:rsidR="00C2704C">
              <w:rPr>
                <w:noProof/>
                <w:webHidden/>
              </w:rPr>
              <w:instrText xml:space="preserve"> PAGEREF _Toc34657539 \h </w:instrText>
            </w:r>
            <w:r w:rsidR="00C2704C">
              <w:rPr>
                <w:noProof/>
                <w:webHidden/>
              </w:rPr>
            </w:r>
            <w:r w:rsidR="00C2704C">
              <w:rPr>
                <w:noProof/>
                <w:webHidden/>
              </w:rPr>
              <w:fldChar w:fldCharType="separate"/>
            </w:r>
            <w:r w:rsidR="00C2704C">
              <w:rPr>
                <w:noProof/>
                <w:webHidden/>
              </w:rPr>
              <w:t>11</w:t>
            </w:r>
            <w:r w:rsidR="00C2704C">
              <w:rPr>
                <w:noProof/>
                <w:webHidden/>
              </w:rPr>
              <w:fldChar w:fldCharType="end"/>
            </w:r>
          </w:hyperlink>
        </w:p>
        <w:p w14:paraId="7F413B64" w14:textId="77777777" w:rsidR="00C2704C" w:rsidRDefault="001A191B">
          <w:pPr>
            <w:pStyle w:val="Innehll3"/>
            <w:tabs>
              <w:tab w:val="left" w:pos="1320"/>
              <w:tab w:val="right" w:leader="dot" w:pos="8715"/>
            </w:tabs>
            <w:rPr>
              <w:rFonts w:eastAsiaTheme="minorEastAsia"/>
              <w:noProof/>
              <w:lang w:eastAsia="sv-SE"/>
            </w:rPr>
          </w:pPr>
          <w:hyperlink w:anchor="_Toc34657540" w:history="1">
            <w:r w:rsidR="00C2704C" w:rsidRPr="00702CFF">
              <w:rPr>
                <w:rStyle w:val="Hyperlnk"/>
                <w:noProof/>
              </w:rPr>
              <w:t>2.3.2</w:t>
            </w:r>
            <w:r w:rsidR="00C2704C">
              <w:rPr>
                <w:rFonts w:eastAsiaTheme="minorEastAsia"/>
                <w:noProof/>
                <w:lang w:eastAsia="sv-SE"/>
              </w:rPr>
              <w:tab/>
            </w:r>
            <w:r w:rsidR="00C2704C" w:rsidRPr="00702CFF">
              <w:rPr>
                <w:rStyle w:val="Hyperlnk"/>
                <w:noProof/>
              </w:rPr>
              <w:t>Vår roll i samhället</w:t>
            </w:r>
            <w:r w:rsidR="00C2704C">
              <w:rPr>
                <w:noProof/>
                <w:webHidden/>
              </w:rPr>
              <w:tab/>
            </w:r>
            <w:r w:rsidR="00C2704C">
              <w:rPr>
                <w:noProof/>
                <w:webHidden/>
              </w:rPr>
              <w:fldChar w:fldCharType="begin"/>
            </w:r>
            <w:r w:rsidR="00C2704C">
              <w:rPr>
                <w:noProof/>
                <w:webHidden/>
              </w:rPr>
              <w:instrText xml:space="preserve"> PAGEREF _Toc34657540 \h </w:instrText>
            </w:r>
            <w:r w:rsidR="00C2704C">
              <w:rPr>
                <w:noProof/>
                <w:webHidden/>
              </w:rPr>
            </w:r>
            <w:r w:rsidR="00C2704C">
              <w:rPr>
                <w:noProof/>
                <w:webHidden/>
              </w:rPr>
              <w:fldChar w:fldCharType="separate"/>
            </w:r>
            <w:r w:rsidR="00C2704C">
              <w:rPr>
                <w:noProof/>
                <w:webHidden/>
              </w:rPr>
              <w:t>12</w:t>
            </w:r>
            <w:r w:rsidR="00C2704C">
              <w:rPr>
                <w:noProof/>
                <w:webHidden/>
              </w:rPr>
              <w:fldChar w:fldCharType="end"/>
            </w:r>
          </w:hyperlink>
        </w:p>
        <w:p w14:paraId="04907A25" w14:textId="77777777" w:rsidR="00C2704C" w:rsidRDefault="001A191B">
          <w:pPr>
            <w:pStyle w:val="Innehll1"/>
            <w:tabs>
              <w:tab w:val="left" w:pos="440"/>
              <w:tab w:val="right" w:leader="dot" w:pos="8715"/>
            </w:tabs>
            <w:rPr>
              <w:rFonts w:eastAsiaTheme="minorEastAsia"/>
              <w:noProof/>
              <w:lang w:eastAsia="sv-SE"/>
            </w:rPr>
          </w:pPr>
          <w:hyperlink w:anchor="_Toc34657541" w:history="1">
            <w:r w:rsidR="00C2704C" w:rsidRPr="00702CFF">
              <w:rPr>
                <w:rStyle w:val="Hyperlnk"/>
                <w:noProof/>
              </w:rPr>
              <w:t>3</w:t>
            </w:r>
            <w:r w:rsidR="00C2704C">
              <w:rPr>
                <w:rFonts w:eastAsiaTheme="minorEastAsia"/>
                <w:noProof/>
                <w:lang w:eastAsia="sv-SE"/>
              </w:rPr>
              <w:tab/>
            </w:r>
            <w:r w:rsidR="00C2704C" w:rsidRPr="00702CFF">
              <w:rPr>
                <w:rStyle w:val="Hyperlnk"/>
                <w:noProof/>
              </w:rPr>
              <w:t>Resultat</w:t>
            </w:r>
            <w:r w:rsidR="00C2704C">
              <w:rPr>
                <w:noProof/>
                <w:webHidden/>
              </w:rPr>
              <w:tab/>
            </w:r>
            <w:r w:rsidR="00C2704C">
              <w:rPr>
                <w:noProof/>
                <w:webHidden/>
              </w:rPr>
              <w:fldChar w:fldCharType="begin"/>
            </w:r>
            <w:r w:rsidR="00C2704C">
              <w:rPr>
                <w:noProof/>
                <w:webHidden/>
              </w:rPr>
              <w:instrText xml:space="preserve"> PAGEREF _Toc34657541 \h </w:instrText>
            </w:r>
            <w:r w:rsidR="00C2704C">
              <w:rPr>
                <w:noProof/>
                <w:webHidden/>
              </w:rPr>
            </w:r>
            <w:r w:rsidR="00C2704C">
              <w:rPr>
                <w:noProof/>
                <w:webHidden/>
              </w:rPr>
              <w:fldChar w:fldCharType="separate"/>
            </w:r>
            <w:r w:rsidR="00C2704C">
              <w:rPr>
                <w:noProof/>
                <w:webHidden/>
              </w:rPr>
              <w:t>13</w:t>
            </w:r>
            <w:r w:rsidR="00C2704C">
              <w:rPr>
                <w:noProof/>
                <w:webHidden/>
              </w:rPr>
              <w:fldChar w:fldCharType="end"/>
            </w:r>
          </w:hyperlink>
        </w:p>
        <w:p w14:paraId="35AA9903" w14:textId="77777777" w:rsidR="00C2704C" w:rsidRDefault="001A191B">
          <w:pPr>
            <w:pStyle w:val="Innehll2"/>
            <w:tabs>
              <w:tab w:val="left" w:pos="880"/>
              <w:tab w:val="right" w:leader="dot" w:pos="8715"/>
            </w:tabs>
            <w:rPr>
              <w:rFonts w:eastAsiaTheme="minorEastAsia"/>
              <w:noProof/>
              <w:lang w:eastAsia="sv-SE"/>
            </w:rPr>
          </w:pPr>
          <w:hyperlink w:anchor="_Toc34657542" w:history="1">
            <w:r w:rsidR="00C2704C" w:rsidRPr="00702CFF">
              <w:rPr>
                <w:rStyle w:val="Hyperlnk"/>
                <w:noProof/>
              </w:rPr>
              <w:t>3.1</w:t>
            </w:r>
            <w:r w:rsidR="00C2704C">
              <w:rPr>
                <w:rFonts w:eastAsiaTheme="minorEastAsia"/>
                <w:noProof/>
                <w:lang w:eastAsia="sv-SE"/>
              </w:rPr>
              <w:tab/>
            </w:r>
            <w:r w:rsidR="00C2704C" w:rsidRPr="00702CFF">
              <w:rPr>
                <w:rStyle w:val="Hyperlnk"/>
                <w:noProof/>
              </w:rPr>
              <w:t>Resultat ekonomi</w:t>
            </w:r>
            <w:r w:rsidR="00C2704C">
              <w:rPr>
                <w:noProof/>
                <w:webHidden/>
              </w:rPr>
              <w:tab/>
            </w:r>
            <w:r w:rsidR="00C2704C">
              <w:rPr>
                <w:noProof/>
                <w:webHidden/>
              </w:rPr>
              <w:fldChar w:fldCharType="begin"/>
            </w:r>
            <w:r w:rsidR="00C2704C">
              <w:rPr>
                <w:noProof/>
                <w:webHidden/>
              </w:rPr>
              <w:instrText xml:space="preserve"> PAGEREF _Toc34657542 \h </w:instrText>
            </w:r>
            <w:r w:rsidR="00C2704C">
              <w:rPr>
                <w:noProof/>
                <w:webHidden/>
              </w:rPr>
            </w:r>
            <w:r w:rsidR="00C2704C">
              <w:rPr>
                <w:noProof/>
                <w:webHidden/>
              </w:rPr>
              <w:fldChar w:fldCharType="separate"/>
            </w:r>
            <w:r w:rsidR="00C2704C">
              <w:rPr>
                <w:noProof/>
                <w:webHidden/>
              </w:rPr>
              <w:t>13</w:t>
            </w:r>
            <w:r w:rsidR="00C2704C">
              <w:rPr>
                <w:noProof/>
                <w:webHidden/>
              </w:rPr>
              <w:fldChar w:fldCharType="end"/>
            </w:r>
          </w:hyperlink>
        </w:p>
        <w:p w14:paraId="6CBCCB13" w14:textId="77777777" w:rsidR="00C2704C" w:rsidRDefault="001A191B">
          <w:pPr>
            <w:pStyle w:val="Innehll2"/>
            <w:tabs>
              <w:tab w:val="left" w:pos="880"/>
              <w:tab w:val="right" w:leader="dot" w:pos="8715"/>
            </w:tabs>
            <w:rPr>
              <w:rFonts w:eastAsiaTheme="minorEastAsia"/>
              <w:noProof/>
              <w:lang w:eastAsia="sv-SE"/>
            </w:rPr>
          </w:pPr>
          <w:hyperlink w:anchor="_Toc34657543" w:history="1">
            <w:r w:rsidR="00C2704C" w:rsidRPr="00702CFF">
              <w:rPr>
                <w:rStyle w:val="Hyperlnk"/>
                <w:noProof/>
              </w:rPr>
              <w:t>3.2</w:t>
            </w:r>
            <w:r w:rsidR="00C2704C">
              <w:rPr>
                <w:rFonts w:eastAsiaTheme="minorEastAsia"/>
                <w:noProof/>
                <w:lang w:eastAsia="sv-SE"/>
              </w:rPr>
              <w:tab/>
            </w:r>
            <w:r w:rsidR="00C2704C" w:rsidRPr="00702CFF">
              <w:rPr>
                <w:rStyle w:val="Hyperlnk"/>
                <w:noProof/>
              </w:rPr>
              <w:t>Resultat miljö</w:t>
            </w:r>
            <w:r w:rsidR="00C2704C">
              <w:rPr>
                <w:noProof/>
                <w:webHidden/>
              </w:rPr>
              <w:tab/>
            </w:r>
            <w:r w:rsidR="00C2704C">
              <w:rPr>
                <w:noProof/>
                <w:webHidden/>
              </w:rPr>
              <w:fldChar w:fldCharType="begin"/>
            </w:r>
            <w:r w:rsidR="00C2704C">
              <w:rPr>
                <w:noProof/>
                <w:webHidden/>
              </w:rPr>
              <w:instrText xml:space="preserve"> PAGEREF _Toc34657543 \h </w:instrText>
            </w:r>
            <w:r w:rsidR="00C2704C">
              <w:rPr>
                <w:noProof/>
                <w:webHidden/>
              </w:rPr>
            </w:r>
            <w:r w:rsidR="00C2704C">
              <w:rPr>
                <w:noProof/>
                <w:webHidden/>
              </w:rPr>
              <w:fldChar w:fldCharType="separate"/>
            </w:r>
            <w:r w:rsidR="00C2704C">
              <w:rPr>
                <w:noProof/>
                <w:webHidden/>
              </w:rPr>
              <w:t>13</w:t>
            </w:r>
            <w:r w:rsidR="00C2704C">
              <w:rPr>
                <w:noProof/>
                <w:webHidden/>
              </w:rPr>
              <w:fldChar w:fldCharType="end"/>
            </w:r>
          </w:hyperlink>
        </w:p>
        <w:p w14:paraId="21C78094" w14:textId="77777777" w:rsidR="00C2704C" w:rsidRDefault="001A191B">
          <w:pPr>
            <w:pStyle w:val="Innehll2"/>
            <w:tabs>
              <w:tab w:val="right" w:leader="dot" w:pos="8715"/>
            </w:tabs>
            <w:rPr>
              <w:rFonts w:eastAsiaTheme="minorEastAsia"/>
              <w:noProof/>
              <w:lang w:eastAsia="sv-SE"/>
            </w:rPr>
          </w:pPr>
          <w:hyperlink w:anchor="_Toc34657544" w:history="1">
            <w:r w:rsidR="00C2704C" w:rsidRPr="00702CFF">
              <w:rPr>
                <w:rStyle w:val="Hyperlnk"/>
                <w:noProof/>
              </w:rPr>
              <w:t>3.3 Resultat socialt</w:t>
            </w:r>
            <w:r w:rsidR="00C2704C">
              <w:rPr>
                <w:noProof/>
                <w:webHidden/>
              </w:rPr>
              <w:tab/>
            </w:r>
            <w:r w:rsidR="00C2704C">
              <w:rPr>
                <w:noProof/>
                <w:webHidden/>
              </w:rPr>
              <w:fldChar w:fldCharType="begin"/>
            </w:r>
            <w:r w:rsidR="00C2704C">
              <w:rPr>
                <w:noProof/>
                <w:webHidden/>
              </w:rPr>
              <w:instrText xml:space="preserve"> PAGEREF _Toc34657544 \h </w:instrText>
            </w:r>
            <w:r w:rsidR="00C2704C">
              <w:rPr>
                <w:noProof/>
                <w:webHidden/>
              </w:rPr>
            </w:r>
            <w:r w:rsidR="00C2704C">
              <w:rPr>
                <w:noProof/>
                <w:webHidden/>
              </w:rPr>
              <w:fldChar w:fldCharType="separate"/>
            </w:r>
            <w:r w:rsidR="00C2704C">
              <w:rPr>
                <w:noProof/>
                <w:webHidden/>
              </w:rPr>
              <w:t>18</w:t>
            </w:r>
            <w:r w:rsidR="00C2704C">
              <w:rPr>
                <w:noProof/>
                <w:webHidden/>
              </w:rPr>
              <w:fldChar w:fldCharType="end"/>
            </w:r>
          </w:hyperlink>
        </w:p>
        <w:p w14:paraId="7D9C7E29" w14:textId="77777777" w:rsidR="00C2704C" w:rsidRDefault="001A191B">
          <w:pPr>
            <w:pStyle w:val="Innehll1"/>
            <w:tabs>
              <w:tab w:val="left" w:pos="440"/>
              <w:tab w:val="right" w:leader="dot" w:pos="8715"/>
            </w:tabs>
            <w:rPr>
              <w:rFonts w:eastAsiaTheme="minorEastAsia"/>
              <w:noProof/>
              <w:lang w:eastAsia="sv-SE"/>
            </w:rPr>
          </w:pPr>
          <w:hyperlink w:anchor="_Toc34657545" w:history="1">
            <w:r w:rsidR="00C2704C" w:rsidRPr="00702CFF">
              <w:rPr>
                <w:rStyle w:val="Hyperlnk"/>
                <w:noProof/>
              </w:rPr>
              <w:t>4</w:t>
            </w:r>
            <w:r w:rsidR="00C2704C">
              <w:rPr>
                <w:rFonts w:eastAsiaTheme="minorEastAsia"/>
                <w:noProof/>
                <w:lang w:eastAsia="sv-SE"/>
              </w:rPr>
              <w:tab/>
            </w:r>
            <w:r w:rsidR="00C2704C" w:rsidRPr="00702CFF">
              <w:rPr>
                <w:rStyle w:val="Hyperlnk"/>
                <w:noProof/>
              </w:rPr>
              <w:t>Om hållbarhetsredovisningen</w:t>
            </w:r>
            <w:r w:rsidR="00C2704C">
              <w:rPr>
                <w:noProof/>
                <w:webHidden/>
              </w:rPr>
              <w:tab/>
            </w:r>
            <w:r w:rsidR="00C2704C">
              <w:rPr>
                <w:noProof/>
                <w:webHidden/>
              </w:rPr>
              <w:fldChar w:fldCharType="begin"/>
            </w:r>
            <w:r w:rsidR="00C2704C">
              <w:rPr>
                <w:noProof/>
                <w:webHidden/>
              </w:rPr>
              <w:instrText xml:space="preserve"> PAGEREF _Toc34657545 \h </w:instrText>
            </w:r>
            <w:r w:rsidR="00C2704C">
              <w:rPr>
                <w:noProof/>
                <w:webHidden/>
              </w:rPr>
            </w:r>
            <w:r w:rsidR="00C2704C">
              <w:rPr>
                <w:noProof/>
                <w:webHidden/>
              </w:rPr>
              <w:fldChar w:fldCharType="separate"/>
            </w:r>
            <w:r w:rsidR="00C2704C">
              <w:rPr>
                <w:noProof/>
                <w:webHidden/>
              </w:rPr>
              <w:t>20</w:t>
            </w:r>
            <w:r w:rsidR="00C2704C">
              <w:rPr>
                <w:noProof/>
                <w:webHidden/>
              </w:rPr>
              <w:fldChar w:fldCharType="end"/>
            </w:r>
          </w:hyperlink>
        </w:p>
        <w:p w14:paraId="77A0E746" w14:textId="77777777" w:rsidR="00C2704C" w:rsidRDefault="001A191B">
          <w:pPr>
            <w:pStyle w:val="Innehll2"/>
            <w:tabs>
              <w:tab w:val="left" w:pos="880"/>
              <w:tab w:val="right" w:leader="dot" w:pos="8715"/>
            </w:tabs>
            <w:rPr>
              <w:rFonts w:eastAsiaTheme="minorEastAsia"/>
              <w:noProof/>
              <w:lang w:eastAsia="sv-SE"/>
            </w:rPr>
          </w:pPr>
          <w:hyperlink w:anchor="_Toc34657546" w:history="1">
            <w:r w:rsidR="00C2704C" w:rsidRPr="00702CFF">
              <w:rPr>
                <w:rStyle w:val="Hyperlnk"/>
                <w:noProof/>
              </w:rPr>
              <w:t>4.1</w:t>
            </w:r>
            <w:r w:rsidR="00C2704C">
              <w:rPr>
                <w:rFonts w:eastAsiaTheme="minorEastAsia"/>
                <w:noProof/>
                <w:lang w:eastAsia="sv-SE"/>
              </w:rPr>
              <w:tab/>
            </w:r>
            <w:r w:rsidR="00C2704C" w:rsidRPr="00702CFF">
              <w:rPr>
                <w:rStyle w:val="Hyperlnk"/>
                <w:noProof/>
              </w:rPr>
              <w:t>Beräkningsmetoder och underlag</w:t>
            </w:r>
            <w:r w:rsidR="00C2704C">
              <w:rPr>
                <w:noProof/>
                <w:webHidden/>
              </w:rPr>
              <w:tab/>
            </w:r>
            <w:r w:rsidR="00C2704C">
              <w:rPr>
                <w:noProof/>
                <w:webHidden/>
              </w:rPr>
              <w:fldChar w:fldCharType="begin"/>
            </w:r>
            <w:r w:rsidR="00C2704C">
              <w:rPr>
                <w:noProof/>
                <w:webHidden/>
              </w:rPr>
              <w:instrText xml:space="preserve"> PAGEREF _Toc34657546 \h </w:instrText>
            </w:r>
            <w:r w:rsidR="00C2704C">
              <w:rPr>
                <w:noProof/>
                <w:webHidden/>
              </w:rPr>
            </w:r>
            <w:r w:rsidR="00C2704C">
              <w:rPr>
                <w:noProof/>
                <w:webHidden/>
              </w:rPr>
              <w:fldChar w:fldCharType="separate"/>
            </w:r>
            <w:r w:rsidR="00C2704C">
              <w:rPr>
                <w:noProof/>
                <w:webHidden/>
              </w:rPr>
              <w:t>20</w:t>
            </w:r>
            <w:r w:rsidR="00C2704C">
              <w:rPr>
                <w:noProof/>
                <w:webHidden/>
              </w:rPr>
              <w:fldChar w:fldCharType="end"/>
            </w:r>
          </w:hyperlink>
        </w:p>
        <w:p w14:paraId="72D55659" w14:textId="77777777" w:rsidR="00C2704C" w:rsidRDefault="001A191B">
          <w:pPr>
            <w:pStyle w:val="Innehll2"/>
            <w:tabs>
              <w:tab w:val="left" w:pos="880"/>
              <w:tab w:val="right" w:leader="dot" w:pos="8715"/>
            </w:tabs>
            <w:rPr>
              <w:rFonts w:eastAsiaTheme="minorEastAsia"/>
              <w:noProof/>
              <w:lang w:eastAsia="sv-SE"/>
            </w:rPr>
          </w:pPr>
          <w:hyperlink w:anchor="_Toc34657547" w:history="1">
            <w:r w:rsidR="00C2704C" w:rsidRPr="00702CFF">
              <w:rPr>
                <w:rStyle w:val="Hyperlnk"/>
                <w:noProof/>
              </w:rPr>
              <w:t>4.2</w:t>
            </w:r>
            <w:r w:rsidR="00C2704C">
              <w:rPr>
                <w:rFonts w:eastAsiaTheme="minorEastAsia"/>
                <w:noProof/>
                <w:lang w:eastAsia="sv-SE"/>
              </w:rPr>
              <w:tab/>
            </w:r>
            <w:r w:rsidR="00C2704C" w:rsidRPr="00702CFF">
              <w:rPr>
                <w:rStyle w:val="Hyperlnk"/>
                <w:noProof/>
              </w:rPr>
              <w:t>Definitioner och förkortningar</w:t>
            </w:r>
            <w:r w:rsidR="00C2704C">
              <w:rPr>
                <w:noProof/>
                <w:webHidden/>
              </w:rPr>
              <w:tab/>
            </w:r>
            <w:r w:rsidR="00C2704C">
              <w:rPr>
                <w:noProof/>
                <w:webHidden/>
              </w:rPr>
              <w:fldChar w:fldCharType="begin"/>
            </w:r>
            <w:r w:rsidR="00C2704C">
              <w:rPr>
                <w:noProof/>
                <w:webHidden/>
              </w:rPr>
              <w:instrText xml:space="preserve"> PAGEREF _Toc34657547 \h </w:instrText>
            </w:r>
            <w:r w:rsidR="00C2704C">
              <w:rPr>
                <w:noProof/>
                <w:webHidden/>
              </w:rPr>
            </w:r>
            <w:r w:rsidR="00C2704C">
              <w:rPr>
                <w:noProof/>
                <w:webHidden/>
              </w:rPr>
              <w:fldChar w:fldCharType="separate"/>
            </w:r>
            <w:r w:rsidR="00C2704C">
              <w:rPr>
                <w:noProof/>
                <w:webHidden/>
              </w:rPr>
              <w:t>20</w:t>
            </w:r>
            <w:r w:rsidR="00C2704C">
              <w:rPr>
                <w:noProof/>
                <w:webHidden/>
              </w:rPr>
              <w:fldChar w:fldCharType="end"/>
            </w:r>
          </w:hyperlink>
        </w:p>
        <w:p w14:paraId="7D5E8027" w14:textId="77777777" w:rsidR="00C2704C" w:rsidRDefault="001A191B">
          <w:pPr>
            <w:pStyle w:val="Innehll2"/>
            <w:tabs>
              <w:tab w:val="left" w:pos="880"/>
              <w:tab w:val="right" w:leader="dot" w:pos="8715"/>
            </w:tabs>
            <w:rPr>
              <w:rFonts w:eastAsiaTheme="minorEastAsia"/>
              <w:noProof/>
              <w:lang w:eastAsia="sv-SE"/>
            </w:rPr>
          </w:pPr>
          <w:hyperlink w:anchor="_Toc34657548" w:history="1">
            <w:r w:rsidR="00C2704C" w:rsidRPr="00702CFF">
              <w:rPr>
                <w:rStyle w:val="Hyperlnk"/>
                <w:noProof/>
              </w:rPr>
              <w:t>4.3</w:t>
            </w:r>
            <w:r w:rsidR="00C2704C">
              <w:rPr>
                <w:rFonts w:eastAsiaTheme="minorEastAsia"/>
                <w:noProof/>
                <w:lang w:eastAsia="sv-SE"/>
              </w:rPr>
              <w:tab/>
            </w:r>
            <w:r w:rsidR="00C2704C" w:rsidRPr="00702CFF">
              <w:rPr>
                <w:rStyle w:val="Hyperlnk"/>
                <w:noProof/>
              </w:rPr>
              <w:t>GRI index</w:t>
            </w:r>
            <w:r w:rsidR="00C2704C">
              <w:rPr>
                <w:noProof/>
                <w:webHidden/>
              </w:rPr>
              <w:tab/>
            </w:r>
            <w:r w:rsidR="00C2704C">
              <w:rPr>
                <w:noProof/>
                <w:webHidden/>
              </w:rPr>
              <w:fldChar w:fldCharType="begin"/>
            </w:r>
            <w:r w:rsidR="00C2704C">
              <w:rPr>
                <w:noProof/>
                <w:webHidden/>
              </w:rPr>
              <w:instrText xml:space="preserve"> PAGEREF _Toc34657548 \h </w:instrText>
            </w:r>
            <w:r w:rsidR="00C2704C">
              <w:rPr>
                <w:noProof/>
                <w:webHidden/>
              </w:rPr>
            </w:r>
            <w:r w:rsidR="00C2704C">
              <w:rPr>
                <w:noProof/>
                <w:webHidden/>
              </w:rPr>
              <w:fldChar w:fldCharType="separate"/>
            </w:r>
            <w:r w:rsidR="00C2704C">
              <w:rPr>
                <w:noProof/>
                <w:webHidden/>
              </w:rPr>
              <w:t>21</w:t>
            </w:r>
            <w:r w:rsidR="00C2704C">
              <w:rPr>
                <w:noProof/>
                <w:webHidden/>
              </w:rPr>
              <w:fldChar w:fldCharType="end"/>
            </w:r>
          </w:hyperlink>
        </w:p>
        <w:p w14:paraId="450A2148" w14:textId="77777777" w:rsidR="000618C3" w:rsidRPr="00EA6971" w:rsidRDefault="00331698">
          <w:r w:rsidRPr="00EE4B96">
            <w:rPr>
              <w:b/>
              <w:bCs/>
            </w:rPr>
            <w:fldChar w:fldCharType="end"/>
          </w:r>
        </w:p>
      </w:sdtContent>
    </w:sdt>
    <w:p w14:paraId="30AB91A3" w14:textId="77777777" w:rsidR="00114220" w:rsidRPr="00EA6971" w:rsidRDefault="00114220"/>
    <w:p w14:paraId="40FEE2D2" w14:textId="77777777" w:rsidR="00114220" w:rsidRPr="00EA6971" w:rsidRDefault="00114220"/>
    <w:p w14:paraId="0D506C82" w14:textId="77777777" w:rsidR="00114220" w:rsidRPr="00EA6971" w:rsidRDefault="00114220">
      <w:r w:rsidRPr="00EA6971">
        <w:br w:type="page"/>
      </w:r>
    </w:p>
    <w:p w14:paraId="615F5F03" w14:textId="77777777" w:rsidR="009B77BF" w:rsidRPr="00EA6971" w:rsidRDefault="00AD75FD" w:rsidP="009B77BF">
      <w:pPr>
        <w:pStyle w:val="Rubrik1"/>
        <w:numPr>
          <w:ilvl w:val="0"/>
          <w:numId w:val="1"/>
        </w:numPr>
        <w:rPr>
          <w:color w:val="auto"/>
        </w:rPr>
      </w:pPr>
      <w:bookmarkStart w:id="0" w:name="_Toc34657523"/>
      <w:r w:rsidRPr="00EA6971">
        <w:rPr>
          <w:color w:val="auto"/>
        </w:rPr>
        <w:lastRenderedPageBreak/>
        <w:t>FRAC</w:t>
      </w:r>
      <w:r w:rsidR="00171F82" w:rsidRPr="00EA6971">
        <w:rPr>
          <w:color w:val="auto"/>
        </w:rPr>
        <w:t>:</w:t>
      </w:r>
      <w:r w:rsidRPr="00EA6971">
        <w:rPr>
          <w:color w:val="auto"/>
        </w:rPr>
        <w:t xml:space="preserve">s </w:t>
      </w:r>
      <w:r w:rsidR="001B58CD" w:rsidRPr="00EA6971">
        <w:rPr>
          <w:color w:val="auto"/>
        </w:rPr>
        <w:t>h</w:t>
      </w:r>
      <w:r w:rsidR="009B77BF" w:rsidRPr="00EA6971">
        <w:rPr>
          <w:color w:val="auto"/>
        </w:rPr>
        <w:t>ållbarhetsarbete</w:t>
      </w:r>
      <w:bookmarkEnd w:id="0"/>
    </w:p>
    <w:p w14:paraId="45F64DE6" w14:textId="6B1EA2ED" w:rsidR="007573FE" w:rsidRPr="00EA6971" w:rsidRDefault="00AB0548" w:rsidP="007573FE">
      <w:pPr>
        <w:spacing w:after="0"/>
        <w:ind w:left="426"/>
      </w:pPr>
      <w:r>
        <w:t xml:space="preserve">2019 har varit ett händelserikt år. Hertz har fått en ny VD som under året påbörjar ett antal strukturella förändringar inom verksamheten. Den nya strukturen är under fortsatt utveckling och uppbyggnad men vi ser att de förstärkningar som skett inom olika delar har givit avsedd effekt. </w:t>
      </w:r>
      <w:r w:rsidR="00A463CE">
        <w:t>Vi har fortsatt arbetet med digitalisering</w:t>
      </w:r>
      <w:r>
        <w:t xml:space="preserve"> och under året har samtliga franchise </w:t>
      </w:r>
      <w:r w:rsidR="00A463CE">
        <w:t xml:space="preserve">stationer </w:t>
      </w:r>
      <w:r>
        <w:t>även implementerat digitala hyreskontrakt. Vi fortsätter vår resa med</w:t>
      </w:r>
      <w:r w:rsidR="00A463CE">
        <w:t xml:space="preserve"> Hertz 2.0 för att ytterligare öka </w:t>
      </w:r>
      <w:r w:rsidR="007573FE">
        <w:t>både personalens trivsel</w:t>
      </w:r>
      <w:r w:rsidR="00A463CE">
        <w:t xml:space="preserve"> och kund</w:t>
      </w:r>
      <w:r w:rsidR="007573FE">
        <w:t xml:space="preserve">ernas </w:t>
      </w:r>
      <w:r w:rsidR="00A463CE">
        <w:t xml:space="preserve">tillfredsställelse. </w:t>
      </w:r>
      <w:r>
        <w:t xml:space="preserve">Där detta arbete pågått under året ser vi positiva effekter. </w:t>
      </w:r>
      <w:r w:rsidR="0064419C" w:rsidRPr="00096B68">
        <w:t>Precis som tidigare år så har vi också delta</w:t>
      </w:r>
      <w:r w:rsidR="000A0968" w:rsidRPr="00096B68">
        <w:t>git</w:t>
      </w:r>
      <w:r w:rsidR="0064419C" w:rsidRPr="00096B68">
        <w:t xml:space="preserve"> i olika </w:t>
      </w:r>
      <w:r w:rsidR="00AD75FD" w:rsidRPr="00096B68">
        <w:t>samarbeten med</w:t>
      </w:r>
      <w:r w:rsidR="001E35DD" w:rsidRPr="00096B68">
        <w:t xml:space="preserve"> </w:t>
      </w:r>
      <w:r w:rsidR="005020E1" w:rsidRPr="00096B68">
        <w:t>lärosäten för högre utbildning</w:t>
      </w:r>
      <w:r w:rsidR="001E35DD" w:rsidRPr="00096B68">
        <w:t xml:space="preserve"> och </w:t>
      </w:r>
      <w:r w:rsidR="001B58CD" w:rsidRPr="00096B68">
        <w:t>andra</w:t>
      </w:r>
      <w:r w:rsidR="001E35DD" w:rsidRPr="00096B68">
        <w:t xml:space="preserve"> forum</w:t>
      </w:r>
      <w:r w:rsidR="00171F82" w:rsidRPr="00096B68">
        <w:t>,</w:t>
      </w:r>
      <w:r w:rsidR="001E35DD" w:rsidRPr="00096B68">
        <w:t xml:space="preserve"> </w:t>
      </w:r>
      <w:r w:rsidR="00AD75FD" w:rsidRPr="00096B68">
        <w:t xml:space="preserve">där vi </w:t>
      </w:r>
      <w:r w:rsidR="001E35DD" w:rsidRPr="00096B68">
        <w:t>som en partner bidrar med kunskap</w:t>
      </w:r>
      <w:r w:rsidR="001B58CD" w:rsidRPr="00096B68">
        <w:t>,</w:t>
      </w:r>
      <w:r w:rsidR="001E35DD" w:rsidRPr="00096B68">
        <w:t xml:space="preserve"> tid och goda exempel på hur man kan utveckla hållbara tjänster för att </w:t>
      </w:r>
      <w:r w:rsidR="001B58CD" w:rsidRPr="00096B68">
        <w:t xml:space="preserve">möta </w:t>
      </w:r>
      <w:r w:rsidR="001E35DD" w:rsidRPr="00096B68">
        <w:t>framtiden.</w:t>
      </w:r>
      <w:r>
        <w:t xml:space="preserve"> Året har präglats av de</w:t>
      </w:r>
      <w:r w:rsidR="007573FE">
        <w:t xml:space="preserve"> stora förändringar</w:t>
      </w:r>
      <w:r>
        <w:t>na</w:t>
      </w:r>
      <w:r w:rsidR="007573FE">
        <w:t xml:space="preserve"> i lagstiftning </w:t>
      </w:r>
      <w:r>
        <w:t>kring bilarna. Tillverkare av fordon har anpassat sig efter lagstiftningens ikraftträdande vilket har</w:t>
      </w:r>
      <w:r w:rsidR="007573FE">
        <w:t xml:space="preserve"> berör</w:t>
      </w:r>
      <w:r>
        <w:t>t flottans sammansättning då tillgänglighet på vissa typer av fordon varit begränsad en tid.</w:t>
      </w:r>
      <w:r w:rsidR="00E7175C">
        <w:t xml:space="preserve"> För att möta lagstiftningen så vill marknaden ha mer miljövänliga bilar, detta tillsammans med en rad andra faktorer skapar initialt en obalans i tillgång och efterfrågan på den nationella marknaden vilket också påverkar vår sammansättning av flotta.</w:t>
      </w:r>
    </w:p>
    <w:p w14:paraId="09A59A17" w14:textId="0661FFFB" w:rsidR="009B77BF" w:rsidRPr="00EA6971" w:rsidRDefault="009B77BF" w:rsidP="00EE6160">
      <w:pPr>
        <w:pStyle w:val="Rubrik2"/>
        <w:numPr>
          <w:ilvl w:val="1"/>
          <w:numId w:val="1"/>
        </w:numPr>
        <w:rPr>
          <w:color w:val="auto"/>
        </w:rPr>
      </w:pPr>
      <w:bookmarkStart w:id="1" w:name="_Toc34657524"/>
      <w:r w:rsidRPr="00EA6971">
        <w:rPr>
          <w:color w:val="auto"/>
        </w:rPr>
        <w:t>Hållbarhetsåret 20</w:t>
      </w:r>
      <w:r w:rsidR="00AD75FD" w:rsidRPr="00EA6971">
        <w:rPr>
          <w:color w:val="auto"/>
        </w:rPr>
        <w:t>1</w:t>
      </w:r>
      <w:r w:rsidR="00E7175C">
        <w:rPr>
          <w:color w:val="auto"/>
        </w:rPr>
        <w:t>9</w:t>
      </w:r>
      <w:bookmarkEnd w:id="1"/>
    </w:p>
    <w:p w14:paraId="3115283E" w14:textId="7A50788A" w:rsidR="004963E3" w:rsidRPr="007573FE" w:rsidRDefault="00251718" w:rsidP="00251718">
      <w:pPr>
        <w:ind w:left="360"/>
      </w:pPr>
      <w:r w:rsidRPr="007573FE">
        <w:t xml:space="preserve">Detta är </w:t>
      </w:r>
      <w:r w:rsidR="00EE4B96" w:rsidRPr="007573FE">
        <w:t>FRACs</w:t>
      </w:r>
      <w:r w:rsidRPr="007573FE">
        <w:t xml:space="preserve"> </w:t>
      </w:r>
      <w:r w:rsidR="00E7175C">
        <w:t>elfte</w:t>
      </w:r>
      <w:r w:rsidRPr="007573FE">
        <w:t xml:space="preserve"> hållbarhetsredovisning.</w:t>
      </w:r>
      <w:r w:rsidR="00C34563" w:rsidRPr="007573FE">
        <w:t xml:space="preserve"> </w:t>
      </w:r>
      <w:r w:rsidR="00F2743F" w:rsidRPr="007573FE">
        <w:t xml:space="preserve">Redovisningen </w:t>
      </w:r>
      <w:r w:rsidR="0092394A" w:rsidRPr="007573FE">
        <w:t>följer även i fortsättningen</w:t>
      </w:r>
      <w:r w:rsidRPr="007573FE">
        <w:t xml:space="preserve"> GRI:</w:t>
      </w:r>
      <w:r w:rsidR="00D85AFF" w:rsidRPr="007573FE">
        <w:t>s</w:t>
      </w:r>
      <w:r w:rsidRPr="007573FE">
        <w:t xml:space="preserve"> (Global Reporting I</w:t>
      </w:r>
      <w:r w:rsidR="00C34563" w:rsidRPr="007573FE">
        <w:t>nitiative) riktlinjer i enlighet med GRI 4</w:t>
      </w:r>
      <w:r w:rsidR="00372631" w:rsidRPr="007573FE">
        <w:t>.</w:t>
      </w:r>
      <w:r w:rsidR="00C34563" w:rsidRPr="007573FE">
        <w:t xml:space="preserve"> Vi </w:t>
      </w:r>
      <w:r w:rsidR="00074587" w:rsidRPr="007573FE">
        <w:t>fortsätter</w:t>
      </w:r>
      <w:r w:rsidR="00C34563" w:rsidRPr="007573FE">
        <w:t xml:space="preserve"> rapporteringen </w:t>
      </w:r>
      <w:r w:rsidR="00171F82" w:rsidRPr="007573FE">
        <w:t xml:space="preserve">enligt </w:t>
      </w:r>
      <w:r w:rsidR="00C34563" w:rsidRPr="007573FE">
        <w:t>samma struktur som tidigare år.</w:t>
      </w:r>
      <w:r w:rsidR="00372631" w:rsidRPr="007573FE">
        <w:t xml:space="preserve"> Inget exte</w:t>
      </w:r>
      <w:r w:rsidR="00074587" w:rsidRPr="007573FE">
        <w:t>rnt bestyrkande görs för år 201</w:t>
      </w:r>
      <w:r w:rsidR="00E7175C">
        <w:t>9</w:t>
      </w:r>
      <w:r w:rsidR="00372631" w:rsidRPr="007573FE">
        <w:t>.</w:t>
      </w:r>
    </w:p>
    <w:p w14:paraId="13B59BBB" w14:textId="411519E7" w:rsidR="00074587" w:rsidRPr="007573FE" w:rsidRDefault="00EE4B96" w:rsidP="00251718">
      <w:pPr>
        <w:ind w:left="360"/>
      </w:pPr>
      <w:r w:rsidRPr="007573FE">
        <w:t>FRAC</w:t>
      </w:r>
      <w:r w:rsidR="00074587" w:rsidRPr="007573FE">
        <w:t xml:space="preserve"> omfat</w:t>
      </w:r>
      <w:r w:rsidR="002537E1" w:rsidRPr="007573FE">
        <w:t>tas av den nya hållbarhetslagen (6 kap. 12 § ÅRL 1995:1554).</w:t>
      </w:r>
      <w:r w:rsidR="00C7060B" w:rsidRPr="007573FE">
        <w:t xml:space="preserve"> Därmed är de</w:t>
      </w:r>
      <w:r w:rsidR="001E7130">
        <w:t>nna hållbarhetsredovisning en</w:t>
      </w:r>
      <w:r w:rsidR="00C7060B" w:rsidRPr="007573FE">
        <w:t xml:space="preserve"> del av vår årsrapport.</w:t>
      </w:r>
    </w:p>
    <w:p w14:paraId="39241A2B" w14:textId="0983F1C8" w:rsidR="004963E3" w:rsidRPr="005F3186" w:rsidRDefault="00D6298F" w:rsidP="00251718">
      <w:pPr>
        <w:ind w:left="360"/>
      </w:pPr>
      <w:r w:rsidRPr="005F3186">
        <w:t>Redovisningen av våra miljöaspekter är i linje m</w:t>
      </w:r>
      <w:r w:rsidR="00C173E2" w:rsidRPr="005F3186">
        <w:t>ed vårt ISO 14001</w:t>
      </w:r>
      <w:r w:rsidR="00D85AFF" w:rsidRPr="005F3186">
        <w:t>-</w:t>
      </w:r>
      <w:r w:rsidR="00C173E2" w:rsidRPr="005F3186">
        <w:t>arbete och</w:t>
      </w:r>
      <w:r w:rsidRPr="005F3186">
        <w:t xml:space="preserve"> </w:t>
      </w:r>
      <w:r w:rsidR="00D85AFF" w:rsidRPr="005F3186">
        <w:t>avser</w:t>
      </w:r>
      <w:r w:rsidR="00A774BE" w:rsidRPr="005F3186">
        <w:t xml:space="preserve"> Hertz</w:t>
      </w:r>
      <w:r w:rsidR="00D85AFF" w:rsidRPr="005F3186">
        <w:t xml:space="preserve"> </w:t>
      </w:r>
      <w:r w:rsidRPr="005F3186">
        <w:t>First Rent A Car AB</w:t>
      </w:r>
      <w:r w:rsidR="00D85AFF" w:rsidRPr="005F3186">
        <w:t xml:space="preserve"> (FRAC)</w:t>
      </w:r>
      <w:r w:rsidR="007573FE" w:rsidRPr="005F3186">
        <w:t>,</w:t>
      </w:r>
      <w:r w:rsidR="00C34563" w:rsidRPr="005F3186">
        <w:t xml:space="preserve"> Bilreda</w:t>
      </w:r>
      <w:r w:rsidRPr="005F3186">
        <w:t xml:space="preserve"> samt ett antal fristående återförsäljare som omfattas av vårt ISO 14001</w:t>
      </w:r>
      <w:r w:rsidR="00D85AFF" w:rsidRPr="005F3186">
        <w:t>-</w:t>
      </w:r>
      <w:r w:rsidRPr="005F3186">
        <w:t>certifikat.</w:t>
      </w:r>
      <w:r w:rsidR="001A78B4" w:rsidRPr="005F3186">
        <w:t xml:space="preserve"> </w:t>
      </w:r>
      <w:r w:rsidR="00D85AFF" w:rsidRPr="005F3186">
        <w:t xml:space="preserve">De </w:t>
      </w:r>
      <w:r w:rsidRPr="005F3186">
        <w:t xml:space="preserve">ekonomiska och sociala aspekter som omfattas av denna hållbarhetsredovisning avser FRAC och </w:t>
      </w:r>
      <w:r w:rsidR="00C34563" w:rsidRPr="005F3186">
        <w:t>de</w:t>
      </w:r>
      <w:r w:rsidR="007573FE" w:rsidRPr="005F3186">
        <w:t>t</w:t>
      </w:r>
      <w:r w:rsidR="00D85AFF" w:rsidRPr="005F3186">
        <w:t xml:space="preserve"> </w:t>
      </w:r>
      <w:r w:rsidRPr="005F3186">
        <w:t>helägda dotterbolag</w:t>
      </w:r>
      <w:r w:rsidR="007573FE" w:rsidRPr="005F3186">
        <w:t>et</w:t>
      </w:r>
      <w:r w:rsidR="00C34563" w:rsidRPr="005F3186">
        <w:t xml:space="preserve"> Bilreda AB</w:t>
      </w:r>
      <w:r w:rsidR="00E7175C">
        <w:t>.</w:t>
      </w:r>
      <w:r w:rsidR="007573FE" w:rsidRPr="005F3186">
        <w:t xml:space="preserve"> </w:t>
      </w:r>
      <w:r w:rsidR="00F53398" w:rsidRPr="005F3186">
        <w:t>FRAC</w:t>
      </w:r>
      <w:r w:rsidR="00DE1A16" w:rsidRPr="005F3186">
        <w:t>:</w:t>
      </w:r>
      <w:r w:rsidR="00F53398" w:rsidRPr="005F3186">
        <w:t>s och Bilreda</w:t>
      </w:r>
      <w:r w:rsidR="00E7175C">
        <w:t>s huvudkontor finns i Stockholm</w:t>
      </w:r>
      <w:r w:rsidR="00F53398" w:rsidRPr="005F3186">
        <w:t>.</w:t>
      </w:r>
    </w:p>
    <w:p w14:paraId="390CB72B" w14:textId="2F155C9B" w:rsidR="009B65BD" w:rsidRPr="00EA6971" w:rsidRDefault="00762CC4" w:rsidP="00251718">
      <w:pPr>
        <w:ind w:left="360"/>
      </w:pPr>
      <w:r w:rsidRPr="005F3186">
        <w:t>För en detaljerad ekonomisk redovisning hänvisa</w:t>
      </w:r>
      <w:r w:rsidR="000A0968" w:rsidRPr="005F3186">
        <w:t>r vi</w:t>
      </w:r>
      <w:r w:rsidRPr="005F3186">
        <w:t xml:space="preserve"> till Hertz</w:t>
      </w:r>
      <w:r w:rsidR="005658AE">
        <w:t xml:space="preserve"> och </w:t>
      </w:r>
      <w:r w:rsidR="000A0968" w:rsidRPr="005F3186">
        <w:t>B</w:t>
      </w:r>
      <w:r w:rsidR="00EE4B96" w:rsidRPr="005F3186">
        <w:t>ilredas respektive års</w:t>
      </w:r>
      <w:r w:rsidRPr="005F3186">
        <w:t>redovisning</w:t>
      </w:r>
      <w:r w:rsidR="00EE4B96" w:rsidRPr="005F3186">
        <w:t>ar</w:t>
      </w:r>
      <w:r w:rsidRPr="005F3186">
        <w:t xml:space="preserve"> för </w:t>
      </w:r>
      <w:r w:rsidR="001F663D" w:rsidRPr="005F3186">
        <w:t xml:space="preserve">år </w:t>
      </w:r>
      <w:r w:rsidRPr="005F3186">
        <w:t>201</w:t>
      </w:r>
      <w:r w:rsidR="00E7175C">
        <w:t>9</w:t>
      </w:r>
      <w:r w:rsidRPr="005F3186">
        <w:t xml:space="preserve">. </w:t>
      </w:r>
      <w:r w:rsidR="005F3186" w:rsidRPr="005F3186">
        <w:t>Bolagens</w:t>
      </w:r>
      <w:r w:rsidR="000A0968" w:rsidRPr="005F3186">
        <w:t xml:space="preserve"> </w:t>
      </w:r>
      <w:r w:rsidRPr="005F3186">
        <w:t xml:space="preserve">ansvar </w:t>
      </w:r>
      <w:r w:rsidR="00D85AFF" w:rsidRPr="005F3186">
        <w:t>gent</w:t>
      </w:r>
      <w:r w:rsidR="00F12F10" w:rsidRPr="005F3186">
        <w:t>emot</w:t>
      </w:r>
      <w:r w:rsidRPr="005F3186">
        <w:t xml:space="preserve"> ägarna är att leverera ett positivt resultat i enlighet med fastlagd budget och att samtidigt </w:t>
      </w:r>
      <w:r w:rsidR="00D85AFF" w:rsidRPr="005F3186">
        <w:t>bedriva en hållbar verksamhet</w:t>
      </w:r>
      <w:r w:rsidR="00355EE7" w:rsidRPr="005F3186">
        <w:t xml:space="preserve"> ut</w:t>
      </w:r>
      <w:r w:rsidR="001F663D" w:rsidRPr="005F3186">
        <w:t>ifrån</w:t>
      </w:r>
      <w:r w:rsidR="00355EE7" w:rsidRPr="005F3186">
        <w:t xml:space="preserve"> både miljömässiga, ekonomiska och sociala aspekter</w:t>
      </w:r>
      <w:r w:rsidRPr="005F3186">
        <w:t>. Vi tror att hållbarhetsarbetet har stor betydelse för vår fortsatta affär</w:t>
      </w:r>
      <w:r w:rsidR="001F663D" w:rsidRPr="005F3186">
        <w:t>. D</w:t>
      </w:r>
      <w:r w:rsidR="00F12F10" w:rsidRPr="005F3186">
        <w:t xml:space="preserve">ärför </w:t>
      </w:r>
      <w:r w:rsidR="001F663D" w:rsidRPr="005F3186">
        <w:t xml:space="preserve">har vi </w:t>
      </w:r>
      <w:r w:rsidRPr="005F3186">
        <w:t xml:space="preserve">valt att fokusera på de områden </w:t>
      </w:r>
      <w:r w:rsidR="002165CC" w:rsidRPr="005F3186">
        <w:t xml:space="preserve">som ligger i linje med den verksamhet vi driver och där </w:t>
      </w:r>
      <w:r w:rsidRPr="005F3186">
        <w:t xml:space="preserve">vi ser att vi har </w:t>
      </w:r>
      <w:r w:rsidR="002165CC" w:rsidRPr="005F3186">
        <w:t xml:space="preserve">störst </w:t>
      </w:r>
      <w:r w:rsidRPr="005F3186">
        <w:t>möjlighet att påverka</w:t>
      </w:r>
      <w:r w:rsidR="001F663D" w:rsidRPr="005F3186">
        <w:t>.</w:t>
      </w:r>
      <w:r w:rsidR="001F663D" w:rsidRPr="00EA6971">
        <w:t xml:space="preserve"> </w:t>
      </w:r>
    </w:p>
    <w:p w14:paraId="37DBB467" w14:textId="655B101C" w:rsidR="00D51900" w:rsidRPr="00EA6971" w:rsidRDefault="00D51900"/>
    <w:p w14:paraId="02A4ADB6" w14:textId="77777777" w:rsidR="005E13F3" w:rsidRPr="00EA6971" w:rsidRDefault="005E13F3"/>
    <w:p w14:paraId="02A8CDE0" w14:textId="77777777" w:rsidR="005E13F3" w:rsidRPr="00EA6971" w:rsidRDefault="005E13F3">
      <w:r w:rsidRPr="00EA6971">
        <w:br w:type="page"/>
      </w:r>
    </w:p>
    <w:p w14:paraId="20EECB0B" w14:textId="77777777" w:rsidR="00EE6160" w:rsidRPr="00EA6971" w:rsidRDefault="00105169" w:rsidP="00EE6160">
      <w:pPr>
        <w:pStyle w:val="Rubrik2"/>
        <w:numPr>
          <w:ilvl w:val="1"/>
          <w:numId w:val="1"/>
        </w:numPr>
        <w:rPr>
          <w:color w:val="auto"/>
        </w:rPr>
      </w:pPr>
      <w:bookmarkStart w:id="2" w:name="_Toc34657525"/>
      <w:r w:rsidRPr="00EA6971">
        <w:rPr>
          <w:color w:val="auto"/>
        </w:rPr>
        <w:lastRenderedPageBreak/>
        <w:t xml:space="preserve">Hertz </w:t>
      </w:r>
      <w:r w:rsidR="00A20B30" w:rsidRPr="00EA6971">
        <w:rPr>
          <w:color w:val="auto"/>
        </w:rPr>
        <w:t>v</w:t>
      </w:r>
      <w:r w:rsidR="00EE6160" w:rsidRPr="00EA6971">
        <w:rPr>
          <w:color w:val="auto"/>
        </w:rPr>
        <w:t>d</w:t>
      </w:r>
      <w:r w:rsidR="00A20B30" w:rsidRPr="00EA6971">
        <w:rPr>
          <w:color w:val="auto"/>
        </w:rPr>
        <w:t>-</w:t>
      </w:r>
      <w:r w:rsidR="00EE6160" w:rsidRPr="00EA6971">
        <w:rPr>
          <w:color w:val="auto"/>
        </w:rPr>
        <w:t>ord</w:t>
      </w:r>
      <w:bookmarkEnd w:id="2"/>
    </w:p>
    <w:p w14:paraId="41B2433F" w14:textId="77777777" w:rsidR="005658AE" w:rsidRDefault="005658AE" w:rsidP="005658AE">
      <w:pPr>
        <w:pStyle w:val="Liststycke"/>
      </w:pPr>
      <w:r>
        <w:t>Trots ett utmanande år med många större lagändringar, så som WLTP och Bonus malus, levererade Hertz ett positivt helårsresultat tack vare en stark sommar, förbättrad intäktsgenerering och ett ökat intresse för långtidshyror.</w:t>
      </w:r>
    </w:p>
    <w:p w14:paraId="27D01EAE" w14:textId="6ECAB056" w:rsidR="005658AE" w:rsidRDefault="005658AE" w:rsidP="005658AE">
      <w:pPr>
        <w:pStyle w:val="Liststycke"/>
      </w:pPr>
      <w:r>
        <w:t xml:space="preserve">    </w:t>
      </w:r>
    </w:p>
    <w:p w14:paraId="7635BE67" w14:textId="77777777" w:rsidR="005658AE" w:rsidRDefault="005658AE" w:rsidP="005658AE">
      <w:pPr>
        <w:pStyle w:val="Liststycke"/>
      </w:pPr>
      <w:r w:rsidRPr="005658AE">
        <w:rPr>
          <w:b/>
        </w:rPr>
        <w:t>Hur skulle du sammanfatta 2019?</w:t>
      </w:r>
      <w:r>
        <w:br/>
        <w:t xml:space="preserve">Det är glädjande att se att det fortsatt går uppåt för Sveriges största hyrbilsbolag och vi gjorde förra året ett nytt rekordår och ökade omsättningen till en ny toppnotering på drygt 1,2 miljarder. Tillväxten beror bland annat på den starka sommaren med stor efterfrågan men även på en bättre intäktsmodell. Under året ökade också efterfrågan på långtidshyror främst bland privatkunderna, som allt oftare hyr bil under längre perioder och inte bara under sommar- och vintersemestern. Liksom tidigare år växte även andelen utländska hyrbilskunder, som främst kommer från Norge, Danmark och USA. </w:t>
      </w:r>
      <w:r>
        <w:br/>
      </w:r>
      <w:r>
        <w:br/>
      </w:r>
      <w:r w:rsidRPr="005658AE">
        <w:rPr>
          <w:b/>
        </w:rPr>
        <w:t>Vilka framsteg görs med hållbarhetsarbetet?</w:t>
      </w:r>
      <w:r w:rsidRPr="005658AE">
        <w:rPr>
          <w:b/>
        </w:rPr>
        <w:br/>
      </w:r>
      <w:r>
        <w:t xml:space="preserve">För oss är det viktigt att dra vårt strå till stacken när det gäller hållbarhetsfrågor och under året har vi börjat klimatkompensera för alla våra lojalitetskunders hyror. Pengarna som detta genererar investeras i certifierade Gold standard projekt i Kenya. Vi har gjort investeringar i laddinfrastruktur tillsammans med klimatklivet. Tolv nya egna laddare bara i år med en totalt 45 egna laddstationer runt om i landet! </w:t>
      </w:r>
      <w:r w:rsidRPr="00032976">
        <w:t>Vi har Bra miljöval som val för våra kunder på våra rena elbilar och en del av våra el- och laddhybrider. Bra miljövals</w:t>
      </w:r>
      <w:r>
        <w:t xml:space="preserve">certifieringen innebär bland annat </w:t>
      </w:r>
      <w:r w:rsidRPr="00032976">
        <w:t>att elen som bilen kör på består till minst 50</w:t>
      </w:r>
      <w:r>
        <w:t xml:space="preserve"> </w:t>
      </w:r>
      <w:r w:rsidRPr="00032976">
        <w:t>% av Bra milj</w:t>
      </w:r>
      <w:r>
        <w:t>övals-</w:t>
      </w:r>
      <w:r w:rsidRPr="00032976">
        <w:t>el och att kemikalierna som den tvättas med är Svanen-märkt.</w:t>
      </w:r>
      <w:r>
        <w:t xml:space="preserve"> I alla delar av vår verksamhet tänker vi hur vi kan vara hållbara på bästa möjliga sätt. </w:t>
      </w:r>
    </w:p>
    <w:p w14:paraId="70DBB505" w14:textId="77777777" w:rsidR="005658AE" w:rsidRDefault="005658AE" w:rsidP="005658AE">
      <w:pPr>
        <w:pStyle w:val="Liststycke"/>
        <w:rPr>
          <w:b/>
        </w:rPr>
      </w:pPr>
    </w:p>
    <w:p w14:paraId="06D67F07" w14:textId="77777777" w:rsidR="005658AE" w:rsidRDefault="005658AE" w:rsidP="005658AE">
      <w:pPr>
        <w:pStyle w:val="Liststycke"/>
      </w:pPr>
      <w:r w:rsidRPr="005658AE">
        <w:rPr>
          <w:b/>
        </w:rPr>
        <w:t xml:space="preserve">Varför tycker du att hyrbilsbranschen är viktig? </w:t>
      </w:r>
      <w:r>
        <w:br/>
        <w:t xml:space="preserve">Människor gör i all större utsträckning mer medvetna val kring centrala frågor som privatekonomi och miljöpåverkan. Vi ser en ökad trend där man väljer att inte aktivt äga sin egen bil, utan snarare hyra den när behovet uppstår och som företag fyller vi en viktig funktion som uppskattas av våra kunder. </w:t>
      </w:r>
    </w:p>
    <w:p w14:paraId="37BC82AB" w14:textId="77777777" w:rsidR="005658AE" w:rsidRDefault="005658AE" w:rsidP="005658AE">
      <w:pPr>
        <w:pStyle w:val="Liststycke"/>
      </w:pPr>
    </w:p>
    <w:p w14:paraId="6DD3E650" w14:textId="77777777" w:rsidR="005658AE" w:rsidRDefault="005658AE" w:rsidP="005658AE">
      <w:pPr>
        <w:pStyle w:val="Liststycke"/>
      </w:pPr>
      <w:r w:rsidRPr="005658AE">
        <w:rPr>
          <w:b/>
        </w:rPr>
        <w:t>Vad ser du när du blickar framåt?</w:t>
      </w:r>
      <w:r>
        <w:br/>
        <w:t>Vi kommer under 2020 fortsätta ha stor konkurrens på marknaden och jobba hårt för att bibehålla vår ställning som Sveriges största hyrbilsbolag. Nya lagar med nya skatteregler innebär fler kostnader för en bransch som redan har låga marginaler. Vi kommer under 2020 att fortsätta lägga stort fokus på kundupplevelsen och att snabbare kunna anpassa oss till de trender som finns på marknaden för att fortsätta vara relevanta för våra kunder. Att få ta del av vad våra kunder vill och vad de efterfrågar kommer att bli extra spännande att nysta i under 2020. Det ger oss en möjlighet att kika över vår produktportfölj och förenkla för alla våra kunder där ute.</w:t>
      </w:r>
      <w:r>
        <w:br/>
        <w:t xml:space="preserve">Jag ser också fram emot att fira Hertz First Rent a Car Sverige 60 års-jubileum i Sverige tillsammans med medarbetare och kunder. </w:t>
      </w:r>
      <w:r>
        <w:br/>
      </w:r>
      <w:r>
        <w:br/>
        <w:t>Avslutningsvis vill jag rikta mitt varmaste tack till alla medarbetare, kunder, franchisetagare och partners som har varit med oss under året, och jag ser fram emot ett spännande 2020!</w:t>
      </w:r>
    </w:p>
    <w:p w14:paraId="42C87D6F" w14:textId="77777777" w:rsidR="00F50281" w:rsidRPr="00EA6971" w:rsidRDefault="00F50281" w:rsidP="00105169"/>
    <w:p w14:paraId="1BFD5D8E" w14:textId="32B1BE10" w:rsidR="00105169" w:rsidRPr="00EA6971" w:rsidRDefault="00F50281" w:rsidP="005658AE">
      <w:pPr>
        <w:pStyle w:val="Rubrik2"/>
        <w:numPr>
          <w:ilvl w:val="1"/>
          <w:numId w:val="1"/>
        </w:numPr>
        <w:tabs>
          <w:tab w:val="left" w:pos="851"/>
        </w:tabs>
        <w:ind w:firstLine="6"/>
        <w:rPr>
          <w:color w:val="000000" w:themeColor="text1"/>
        </w:rPr>
      </w:pPr>
      <w:bookmarkStart w:id="3" w:name="_Toc34657526"/>
      <w:r w:rsidRPr="00EA6971">
        <w:rPr>
          <w:color w:val="000000" w:themeColor="text1"/>
        </w:rPr>
        <w:t xml:space="preserve">Bilredas </w:t>
      </w:r>
      <w:r w:rsidR="00DC2AC6" w:rsidRPr="00EA6971">
        <w:rPr>
          <w:color w:val="000000" w:themeColor="text1"/>
        </w:rPr>
        <w:t>vd-</w:t>
      </w:r>
      <w:r w:rsidRPr="00EA6971">
        <w:rPr>
          <w:color w:val="000000" w:themeColor="text1"/>
        </w:rPr>
        <w:t>ord</w:t>
      </w:r>
      <w:bookmarkEnd w:id="3"/>
    </w:p>
    <w:p w14:paraId="1FEA6A8A" w14:textId="3090EA92" w:rsidR="001C341A" w:rsidRDefault="001C341A" w:rsidP="005658AE">
      <w:pPr>
        <w:ind w:left="426"/>
        <w:rPr>
          <w:color w:val="000000" w:themeColor="text1"/>
        </w:rPr>
      </w:pPr>
      <w:r>
        <w:rPr>
          <w:color w:val="000000" w:themeColor="text1"/>
        </w:rPr>
        <w:t xml:space="preserve">Bilreda har haft ett intensivt år där vi vuxit både i antal anställda och i volym. </w:t>
      </w:r>
      <w:r w:rsidRPr="005658AE">
        <w:rPr>
          <w:color w:val="000000" w:themeColor="text1"/>
        </w:rPr>
        <w:t>Vi har</w:t>
      </w:r>
      <w:r>
        <w:rPr>
          <w:color w:val="000000" w:themeColor="text1"/>
        </w:rPr>
        <w:t xml:space="preserve"> </w:t>
      </w:r>
      <w:r w:rsidRPr="005658AE">
        <w:rPr>
          <w:color w:val="000000" w:themeColor="text1"/>
        </w:rPr>
        <w:t>fått en ny sam</w:t>
      </w:r>
      <w:r>
        <w:rPr>
          <w:color w:val="000000" w:themeColor="text1"/>
        </w:rPr>
        <w:t>arbetspartner vilket resulterat</w:t>
      </w:r>
      <w:r w:rsidRPr="005658AE">
        <w:rPr>
          <w:color w:val="000000" w:themeColor="text1"/>
        </w:rPr>
        <w:t xml:space="preserve"> i en ökning av ca </w:t>
      </w:r>
      <w:r>
        <w:rPr>
          <w:color w:val="000000" w:themeColor="text1"/>
        </w:rPr>
        <w:t xml:space="preserve">4000 fordon och 341 nya kunder. Nu pågår ett </w:t>
      </w:r>
      <w:r w:rsidRPr="005658AE">
        <w:rPr>
          <w:color w:val="000000" w:themeColor="text1"/>
        </w:rPr>
        <w:t>arbet</w:t>
      </w:r>
      <w:r>
        <w:rPr>
          <w:color w:val="000000" w:themeColor="text1"/>
        </w:rPr>
        <w:t>e med att</w:t>
      </w:r>
      <w:r w:rsidRPr="005658AE">
        <w:rPr>
          <w:color w:val="000000" w:themeColor="text1"/>
        </w:rPr>
        <w:t xml:space="preserve"> aktivt att få in dem i Bilredas standardprocesser.</w:t>
      </w:r>
      <w:r>
        <w:rPr>
          <w:color w:val="000000" w:themeColor="text1"/>
        </w:rPr>
        <w:t xml:space="preserve"> </w:t>
      </w:r>
    </w:p>
    <w:p w14:paraId="44316051" w14:textId="13C6B9EF" w:rsidR="005658AE" w:rsidRDefault="001C341A" w:rsidP="005658AE">
      <w:pPr>
        <w:ind w:left="426"/>
        <w:rPr>
          <w:color w:val="000000" w:themeColor="text1"/>
        </w:rPr>
      </w:pPr>
      <w:r>
        <w:rPr>
          <w:color w:val="000000" w:themeColor="text1"/>
        </w:rPr>
        <w:t>Vi har även fortsatt att</w:t>
      </w:r>
      <w:r w:rsidR="005658AE" w:rsidRPr="005658AE">
        <w:rPr>
          <w:color w:val="000000" w:themeColor="text1"/>
        </w:rPr>
        <w:t xml:space="preserve"> se</w:t>
      </w:r>
      <w:r>
        <w:rPr>
          <w:color w:val="000000" w:themeColor="text1"/>
        </w:rPr>
        <w:t xml:space="preserve"> över våra processer och</w:t>
      </w:r>
      <w:r w:rsidR="005658AE" w:rsidRPr="005658AE">
        <w:rPr>
          <w:color w:val="000000" w:themeColor="text1"/>
        </w:rPr>
        <w:t xml:space="preserve"> </w:t>
      </w:r>
      <w:r>
        <w:rPr>
          <w:color w:val="000000" w:themeColor="text1"/>
        </w:rPr>
        <w:t>vår</w:t>
      </w:r>
      <w:r w:rsidR="005658AE" w:rsidRPr="005658AE">
        <w:rPr>
          <w:color w:val="000000" w:themeColor="text1"/>
        </w:rPr>
        <w:t xml:space="preserve"> digitaliseringsresa</w:t>
      </w:r>
      <w:r>
        <w:rPr>
          <w:color w:val="000000" w:themeColor="text1"/>
        </w:rPr>
        <w:t xml:space="preserve"> genom att granska vår externa påverkan. Detta innebär att vi tittar på</w:t>
      </w:r>
      <w:r w:rsidR="005658AE" w:rsidRPr="005658AE">
        <w:rPr>
          <w:color w:val="000000" w:themeColor="text1"/>
        </w:rPr>
        <w:t xml:space="preserve"> våra flöden</w:t>
      </w:r>
      <w:r>
        <w:rPr>
          <w:color w:val="000000" w:themeColor="text1"/>
        </w:rPr>
        <w:t>,</w:t>
      </w:r>
      <w:r w:rsidR="005658AE" w:rsidRPr="005658AE">
        <w:rPr>
          <w:color w:val="000000" w:themeColor="text1"/>
        </w:rPr>
        <w:t xml:space="preserve"> vad som skickas till våra kunder</w:t>
      </w:r>
      <w:r>
        <w:rPr>
          <w:color w:val="000000" w:themeColor="text1"/>
        </w:rPr>
        <w:t>, för att</w:t>
      </w:r>
      <w:r w:rsidR="005658AE" w:rsidRPr="005658AE">
        <w:rPr>
          <w:color w:val="000000" w:themeColor="text1"/>
        </w:rPr>
        <w:t xml:space="preserve"> se vad vi fortsatt kan digitalisera för att minska </w:t>
      </w:r>
      <w:r>
        <w:rPr>
          <w:color w:val="000000" w:themeColor="text1"/>
        </w:rPr>
        <w:t xml:space="preserve">vår </w:t>
      </w:r>
      <w:r w:rsidR="005658AE" w:rsidRPr="005658AE">
        <w:rPr>
          <w:color w:val="000000" w:themeColor="text1"/>
        </w:rPr>
        <w:t xml:space="preserve">miljöpåverkan. </w:t>
      </w:r>
    </w:p>
    <w:p w14:paraId="618F81E4" w14:textId="77777777" w:rsidR="001E7130" w:rsidRPr="005658AE" w:rsidRDefault="001E7130" w:rsidP="005658AE">
      <w:pPr>
        <w:ind w:left="426"/>
        <w:rPr>
          <w:color w:val="000000" w:themeColor="text1"/>
        </w:rPr>
      </w:pPr>
    </w:p>
    <w:p w14:paraId="6E4B93F2" w14:textId="77777777" w:rsidR="009B77BF" w:rsidRPr="00EA6971" w:rsidRDefault="00EE6160" w:rsidP="005658AE">
      <w:pPr>
        <w:pStyle w:val="Rubrik2"/>
        <w:numPr>
          <w:ilvl w:val="1"/>
          <w:numId w:val="1"/>
        </w:numPr>
        <w:ind w:left="798"/>
        <w:rPr>
          <w:color w:val="auto"/>
        </w:rPr>
      </w:pPr>
      <w:bookmarkStart w:id="4" w:name="_Toc34657527"/>
      <w:r w:rsidRPr="00EA6971">
        <w:rPr>
          <w:color w:val="auto"/>
        </w:rPr>
        <w:t>Styrning av hållbarhetsarbetet</w:t>
      </w:r>
      <w:bookmarkEnd w:id="4"/>
    </w:p>
    <w:p w14:paraId="3E860D42" w14:textId="6F654397" w:rsidR="0068347F" w:rsidRPr="001C4279" w:rsidRDefault="00752250" w:rsidP="0068347F">
      <w:pPr>
        <w:ind w:left="360"/>
        <w:rPr>
          <w:color w:val="000000" w:themeColor="text1"/>
        </w:rPr>
      </w:pPr>
      <w:r w:rsidRPr="001C4279">
        <w:rPr>
          <w:color w:val="000000" w:themeColor="text1"/>
        </w:rPr>
        <w:t>Vår målsättning</w:t>
      </w:r>
      <w:r w:rsidR="004D379E" w:rsidRPr="001C4279">
        <w:rPr>
          <w:color w:val="000000" w:themeColor="text1"/>
        </w:rPr>
        <w:t xml:space="preserve"> är </w:t>
      </w:r>
      <w:r w:rsidR="0068347F" w:rsidRPr="001C4279">
        <w:rPr>
          <w:color w:val="000000" w:themeColor="text1"/>
        </w:rPr>
        <w:t xml:space="preserve">att öka kundnöjdheten och tillgängligheten för våra kunder. </w:t>
      </w:r>
      <w:r w:rsidR="001C4279">
        <w:rPr>
          <w:color w:val="000000" w:themeColor="text1"/>
        </w:rPr>
        <w:t>Vi fortsät</w:t>
      </w:r>
      <w:r w:rsidR="005E328B">
        <w:rPr>
          <w:color w:val="000000" w:themeColor="text1"/>
        </w:rPr>
        <w:t>ter att växa</w:t>
      </w:r>
      <w:r w:rsidR="00152498">
        <w:rPr>
          <w:color w:val="000000" w:themeColor="text1"/>
        </w:rPr>
        <w:t xml:space="preserve"> vilket ställer krav på vår infrastruktur och våra medarbetare. </w:t>
      </w:r>
      <w:r w:rsidR="0068347F" w:rsidRPr="001C4279">
        <w:rPr>
          <w:color w:val="000000" w:themeColor="text1"/>
        </w:rPr>
        <w:t>Året har varit utmanande</w:t>
      </w:r>
      <w:r w:rsidR="001C4279" w:rsidRPr="001C4279">
        <w:rPr>
          <w:color w:val="000000" w:themeColor="text1"/>
        </w:rPr>
        <w:t xml:space="preserve"> vad gäller ny lagstiftning</w:t>
      </w:r>
      <w:r w:rsidR="001C4279">
        <w:rPr>
          <w:color w:val="000000" w:themeColor="text1"/>
        </w:rPr>
        <w:t xml:space="preserve"> och arbete med digitalisering av vår uthyrningsprocess</w:t>
      </w:r>
      <w:r w:rsidR="001C4279" w:rsidRPr="001C4279">
        <w:rPr>
          <w:color w:val="000000" w:themeColor="text1"/>
        </w:rPr>
        <w:t>.</w:t>
      </w:r>
    </w:p>
    <w:p w14:paraId="64779589" w14:textId="009328C6" w:rsidR="00387566" w:rsidRPr="001C4279" w:rsidRDefault="00F5594D" w:rsidP="009B77BF">
      <w:pPr>
        <w:ind w:left="360"/>
        <w:rPr>
          <w:color w:val="000000" w:themeColor="text1"/>
        </w:rPr>
      </w:pPr>
      <w:r w:rsidRPr="001C4279">
        <w:rPr>
          <w:color w:val="000000" w:themeColor="text1"/>
        </w:rPr>
        <w:t xml:space="preserve"> </w:t>
      </w:r>
      <w:r w:rsidR="00B8708F" w:rsidRPr="001C4279">
        <w:rPr>
          <w:color w:val="000000" w:themeColor="text1"/>
        </w:rPr>
        <w:t>Den nya skatte</w:t>
      </w:r>
      <w:r w:rsidR="00E70201" w:rsidRPr="001C4279">
        <w:rPr>
          <w:color w:val="000000" w:themeColor="text1"/>
        </w:rPr>
        <w:t>lagstiftning</w:t>
      </w:r>
      <w:r w:rsidR="00B8708F" w:rsidRPr="001C4279">
        <w:rPr>
          <w:color w:val="000000" w:themeColor="text1"/>
        </w:rPr>
        <w:t>en för</w:t>
      </w:r>
      <w:r w:rsidR="00E70201" w:rsidRPr="001C4279">
        <w:rPr>
          <w:color w:val="000000" w:themeColor="text1"/>
        </w:rPr>
        <w:t xml:space="preserve"> fordon (bonus</w:t>
      </w:r>
      <w:r w:rsidR="00B8708F" w:rsidRPr="001C4279">
        <w:rPr>
          <w:color w:val="000000" w:themeColor="text1"/>
        </w:rPr>
        <w:t>-</w:t>
      </w:r>
      <w:r w:rsidR="00E70201" w:rsidRPr="001C4279">
        <w:rPr>
          <w:color w:val="000000" w:themeColor="text1"/>
        </w:rPr>
        <w:t>ma</w:t>
      </w:r>
      <w:r w:rsidR="001C4279" w:rsidRPr="001C4279">
        <w:rPr>
          <w:color w:val="000000" w:themeColor="text1"/>
        </w:rPr>
        <w:t>lu</w:t>
      </w:r>
      <w:r w:rsidR="00E70201" w:rsidRPr="001C4279">
        <w:rPr>
          <w:color w:val="000000" w:themeColor="text1"/>
        </w:rPr>
        <w:t>s) påverkar verksamhet</w:t>
      </w:r>
      <w:r w:rsidR="00B8708F" w:rsidRPr="001C4279">
        <w:rPr>
          <w:color w:val="000000" w:themeColor="text1"/>
        </w:rPr>
        <w:t>en</w:t>
      </w:r>
      <w:r w:rsidR="00152498">
        <w:rPr>
          <w:color w:val="000000" w:themeColor="text1"/>
        </w:rPr>
        <w:t>s</w:t>
      </w:r>
      <w:r w:rsidR="00E70201" w:rsidRPr="001C4279">
        <w:rPr>
          <w:color w:val="000000" w:themeColor="text1"/>
        </w:rPr>
        <w:t xml:space="preserve"> utveckling och kunder</w:t>
      </w:r>
      <w:r w:rsidR="00B8708F" w:rsidRPr="001C4279">
        <w:rPr>
          <w:color w:val="000000" w:themeColor="text1"/>
        </w:rPr>
        <w:t>na</w:t>
      </w:r>
      <w:r w:rsidR="00E70201" w:rsidRPr="001C4279">
        <w:rPr>
          <w:color w:val="000000" w:themeColor="text1"/>
        </w:rPr>
        <w:t xml:space="preserve">s </w:t>
      </w:r>
      <w:r w:rsidR="00387566" w:rsidRPr="001C4279">
        <w:rPr>
          <w:color w:val="000000" w:themeColor="text1"/>
        </w:rPr>
        <w:t>behov</w:t>
      </w:r>
      <w:r w:rsidR="00E70201" w:rsidRPr="001C4279">
        <w:rPr>
          <w:color w:val="000000" w:themeColor="text1"/>
        </w:rPr>
        <w:t>.</w:t>
      </w:r>
      <w:r w:rsidR="00387566" w:rsidRPr="001C4279">
        <w:rPr>
          <w:color w:val="000000" w:themeColor="text1"/>
        </w:rPr>
        <w:t xml:space="preserve"> Därför </w:t>
      </w:r>
      <w:r w:rsidR="00E70201" w:rsidRPr="001C4279">
        <w:rPr>
          <w:color w:val="000000" w:themeColor="text1"/>
        </w:rPr>
        <w:t>fortsätter vi arbeta</w:t>
      </w:r>
      <w:r w:rsidR="00FB6B3C" w:rsidRPr="001C4279">
        <w:rPr>
          <w:color w:val="000000" w:themeColor="text1"/>
        </w:rPr>
        <w:t xml:space="preserve"> med att </w:t>
      </w:r>
      <w:r w:rsidR="00152498">
        <w:rPr>
          <w:color w:val="000000" w:themeColor="text1"/>
        </w:rPr>
        <w:t xml:space="preserve">uppmärksamma </w:t>
      </w:r>
      <w:r w:rsidR="00FB6B3C" w:rsidRPr="001C4279">
        <w:rPr>
          <w:color w:val="000000" w:themeColor="text1"/>
        </w:rPr>
        <w:t xml:space="preserve">vilka av våra produkter och tjänster </w:t>
      </w:r>
      <w:r w:rsidR="00387566" w:rsidRPr="001C4279">
        <w:rPr>
          <w:color w:val="000000" w:themeColor="text1"/>
        </w:rPr>
        <w:t xml:space="preserve">som är bra val ur </w:t>
      </w:r>
      <w:r w:rsidR="00E70201" w:rsidRPr="001C4279">
        <w:rPr>
          <w:color w:val="000000" w:themeColor="text1"/>
        </w:rPr>
        <w:t>m</w:t>
      </w:r>
      <w:r w:rsidR="00387566" w:rsidRPr="001C4279">
        <w:rPr>
          <w:color w:val="000000" w:themeColor="text1"/>
        </w:rPr>
        <w:t>iljösynpunkt.</w:t>
      </w:r>
    </w:p>
    <w:p w14:paraId="5AB094E4" w14:textId="77777777" w:rsidR="002D63D9" w:rsidRPr="001C4279" w:rsidRDefault="002F281F" w:rsidP="009B77BF">
      <w:pPr>
        <w:ind w:left="360"/>
        <w:rPr>
          <w:color w:val="000000" w:themeColor="text1"/>
        </w:rPr>
      </w:pPr>
      <w:r w:rsidRPr="001C4279">
        <w:rPr>
          <w:color w:val="000000" w:themeColor="text1"/>
        </w:rPr>
        <w:t xml:space="preserve">Vi har även </w:t>
      </w:r>
      <w:r w:rsidR="004D379E" w:rsidRPr="001C4279">
        <w:rPr>
          <w:color w:val="000000" w:themeColor="text1"/>
        </w:rPr>
        <w:t xml:space="preserve">i år </w:t>
      </w:r>
      <w:r w:rsidR="008B290C" w:rsidRPr="001C4279">
        <w:rPr>
          <w:color w:val="000000" w:themeColor="text1"/>
        </w:rPr>
        <w:t xml:space="preserve">förnyat vårt </w:t>
      </w:r>
      <w:r w:rsidR="008B290C" w:rsidRPr="001C4279">
        <w:rPr>
          <w:i/>
          <w:color w:val="000000" w:themeColor="text1"/>
        </w:rPr>
        <w:t>”</w:t>
      </w:r>
      <w:r w:rsidR="004B6027" w:rsidRPr="001C4279">
        <w:rPr>
          <w:i/>
          <w:color w:val="000000" w:themeColor="text1"/>
        </w:rPr>
        <w:t>L</w:t>
      </w:r>
      <w:r w:rsidR="008B290C" w:rsidRPr="001C4279">
        <w:rPr>
          <w:i/>
          <w:color w:val="000000" w:themeColor="text1"/>
        </w:rPr>
        <w:t xml:space="preserve">etter of </w:t>
      </w:r>
      <w:r w:rsidR="004B6027" w:rsidRPr="001C4279">
        <w:rPr>
          <w:i/>
          <w:color w:val="000000" w:themeColor="text1"/>
        </w:rPr>
        <w:t>C</w:t>
      </w:r>
      <w:r w:rsidR="008B290C" w:rsidRPr="001C4279">
        <w:rPr>
          <w:i/>
          <w:color w:val="000000" w:themeColor="text1"/>
        </w:rPr>
        <w:t>ommit</w:t>
      </w:r>
      <w:r w:rsidR="00B818BD" w:rsidRPr="001C4279">
        <w:rPr>
          <w:i/>
          <w:color w:val="000000" w:themeColor="text1"/>
        </w:rPr>
        <w:t>t</w:t>
      </w:r>
      <w:r w:rsidR="008B290C" w:rsidRPr="001C4279">
        <w:rPr>
          <w:i/>
          <w:color w:val="000000" w:themeColor="text1"/>
        </w:rPr>
        <w:t>ment”</w:t>
      </w:r>
      <w:r w:rsidR="008B290C" w:rsidRPr="001C4279">
        <w:rPr>
          <w:color w:val="000000" w:themeColor="text1"/>
        </w:rPr>
        <w:t xml:space="preserve"> till</w:t>
      </w:r>
      <w:r w:rsidR="00B36C1F" w:rsidRPr="001C4279">
        <w:rPr>
          <w:color w:val="000000" w:themeColor="text1"/>
        </w:rPr>
        <w:t xml:space="preserve"> UN Global Compact</w:t>
      </w:r>
      <w:r w:rsidR="00DF3053" w:rsidRPr="001C4279">
        <w:rPr>
          <w:color w:val="000000" w:themeColor="text1"/>
        </w:rPr>
        <w:t xml:space="preserve"> och fortsätter att stödja detta </w:t>
      </w:r>
      <w:r w:rsidR="00B9352F" w:rsidRPr="001C4279">
        <w:rPr>
          <w:color w:val="000000" w:themeColor="text1"/>
        </w:rPr>
        <w:t xml:space="preserve">initiativ </w:t>
      </w:r>
      <w:r w:rsidR="00C011CB" w:rsidRPr="001C4279">
        <w:rPr>
          <w:color w:val="000000" w:themeColor="text1"/>
        </w:rPr>
        <w:t>som ett led i hållbarhetsarbete</w:t>
      </w:r>
      <w:r w:rsidR="004B6027" w:rsidRPr="001C4279">
        <w:rPr>
          <w:color w:val="000000" w:themeColor="text1"/>
        </w:rPr>
        <w:t>t</w:t>
      </w:r>
      <w:r w:rsidR="00C011CB" w:rsidRPr="001C4279">
        <w:rPr>
          <w:color w:val="000000" w:themeColor="text1"/>
        </w:rPr>
        <w:t>.</w:t>
      </w:r>
      <w:r w:rsidR="005454E0" w:rsidRPr="001C4279">
        <w:rPr>
          <w:color w:val="000000" w:themeColor="text1"/>
        </w:rPr>
        <w:t xml:space="preserve"> </w:t>
      </w:r>
      <w:r w:rsidR="00F8184A" w:rsidRPr="001C4279">
        <w:rPr>
          <w:color w:val="000000" w:themeColor="text1"/>
        </w:rPr>
        <w:t xml:space="preserve"> </w:t>
      </w:r>
    </w:p>
    <w:p w14:paraId="434CCCCA" w14:textId="62441780" w:rsidR="008B290C" w:rsidRPr="001C4279" w:rsidRDefault="004B6027" w:rsidP="009B77BF">
      <w:pPr>
        <w:ind w:left="360"/>
        <w:rPr>
          <w:color w:val="000000" w:themeColor="text1"/>
        </w:rPr>
      </w:pPr>
      <w:r w:rsidRPr="001C4279">
        <w:rPr>
          <w:color w:val="000000" w:themeColor="text1"/>
        </w:rPr>
        <w:t xml:space="preserve">Hertz nätverk av uthyrningskontor består </w:t>
      </w:r>
      <w:r w:rsidR="00AE1828" w:rsidRPr="001C4279">
        <w:rPr>
          <w:color w:val="000000" w:themeColor="text1"/>
        </w:rPr>
        <w:t xml:space="preserve">dels av egna kontor och </w:t>
      </w:r>
      <w:r w:rsidR="00FB6B3C" w:rsidRPr="001C4279">
        <w:rPr>
          <w:color w:val="000000" w:themeColor="text1"/>
        </w:rPr>
        <w:t xml:space="preserve">dels av </w:t>
      </w:r>
      <w:r w:rsidR="00AE1828" w:rsidRPr="001C4279">
        <w:rPr>
          <w:color w:val="000000" w:themeColor="text1"/>
        </w:rPr>
        <w:t>franchisekontor</w:t>
      </w:r>
      <w:r w:rsidR="00E728F2">
        <w:rPr>
          <w:color w:val="000000" w:themeColor="text1"/>
        </w:rPr>
        <w:t xml:space="preserve">. </w:t>
      </w:r>
      <w:r w:rsidR="004D379E" w:rsidRPr="001C4279">
        <w:rPr>
          <w:color w:val="000000" w:themeColor="text1"/>
        </w:rPr>
        <w:t xml:space="preserve"> </w:t>
      </w:r>
    </w:p>
    <w:p w14:paraId="6A078F34" w14:textId="77777777" w:rsidR="002A3C47" w:rsidRPr="00EA6971" w:rsidRDefault="002A3C47" w:rsidP="002A3C47">
      <w:pPr>
        <w:rPr>
          <w:color w:val="1F497D"/>
        </w:rPr>
      </w:pPr>
    </w:p>
    <w:p w14:paraId="3F0D9ED9" w14:textId="77777777" w:rsidR="0053403F" w:rsidRPr="00EA6971" w:rsidRDefault="00F204D8" w:rsidP="004B62D2">
      <w:pPr>
        <w:pStyle w:val="Rubrik3"/>
        <w:ind w:left="364"/>
        <w:rPr>
          <w:color w:val="auto"/>
        </w:rPr>
      </w:pPr>
      <w:bookmarkStart w:id="5" w:name="_Toc34657528"/>
      <w:r w:rsidRPr="00EA6971">
        <w:rPr>
          <w:color w:val="auto"/>
        </w:rPr>
        <w:t>1.</w:t>
      </w:r>
      <w:r w:rsidR="00F50281" w:rsidRPr="00EA6971">
        <w:rPr>
          <w:color w:val="auto"/>
        </w:rPr>
        <w:t>5</w:t>
      </w:r>
      <w:r w:rsidRPr="00EA6971">
        <w:rPr>
          <w:color w:val="auto"/>
        </w:rPr>
        <w:t xml:space="preserve">.1 </w:t>
      </w:r>
      <w:r w:rsidR="0053403F" w:rsidRPr="00EA6971">
        <w:rPr>
          <w:color w:val="auto"/>
        </w:rPr>
        <w:t>Bolagsstyrning</w:t>
      </w:r>
      <w:bookmarkEnd w:id="5"/>
    </w:p>
    <w:p w14:paraId="0893C653" w14:textId="77777777" w:rsidR="0053403F" w:rsidRPr="00847F4F" w:rsidRDefault="0053403F" w:rsidP="00A2784F">
      <w:pPr>
        <w:pStyle w:val="Default"/>
        <w:spacing w:line="276" w:lineRule="auto"/>
        <w:ind w:left="360"/>
        <w:rPr>
          <w:rFonts w:asciiTheme="minorHAnsi" w:hAnsiTheme="minorHAnsi" w:cstheme="minorBidi"/>
          <w:color w:val="000000" w:themeColor="text1"/>
          <w:sz w:val="22"/>
          <w:szCs w:val="22"/>
        </w:rPr>
      </w:pPr>
      <w:r w:rsidRPr="00847F4F">
        <w:rPr>
          <w:rFonts w:asciiTheme="minorHAnsi" w:hAnsiTheme="minorHAnsi" w:cstheme="minorBidi"/>
          <w:color w:val="000000" w:themeColor="text1"/>
          <w:sz w:val="22"/>
          <w:szCs w:val="22"/>
        </w:rPr>
        <w:t xml:space="preserve">Den årliga bolagsstämman är högsta beslutande organ. </w:t>
      </w:r>
      <w:r w:rsidR="00A2784F" w:rsidRPr="00847F4F">
        <w:rPr>
          <w:rFonts w:asciiTheme="minorHAnsi" w:hAnsiTheme="minorHAnsi" w:cstheme="minorBidi"/>
          <w:color w:val="000000" w:themeColor="text1"/>
          <w:sz w:val="22"/>
          <w:szCs w:val="22"/>
        </w:rPr>
        <w:t>B</w:t>
      </w:r>
      <w:r w:rsidRPr="00847F4F">
        <w:rPr>
          <w:rFonts w:asciiTheme="minorHAnsi" w:hAnsiTheme="minorHAnsi" w:cstheme="minorBidi"/>
          <w:color w:val="000000" w:themeColor="text1"/>
          <w:sz w:val="22"/>
          <w:szCs w:val="22"/>
        </w:rPr>
        <w:t>olagsstämman utse</w:t>
      </w:r>
      <w:r w:rsidR="00A2784F" w:rsidRPr="00847F4F">
        <w:rPr>
          <w:rFonts w:asciiTheme="minorHAnsi" w:hAnsiTheme="minorHAnsi" w:cstheme="minorBidi"/>
          <w:color w:val="000000" w:themeColor="text1"/>
          <w:sz w:val="22"/>
          <w:szCs w:val="22"/>
        </w:rPr>
        <w:t>r</w:t>
      </w:r>
      <w:r w:rsidRPr="00847F4F">
        <w:rPr>
          <w:rFonts w:asciiTheme="minorHAnsi" w:hAnsiTheme="minorHAnsi" w:cstheme="minorBidi"/>
          <w:color w:val="000000" w:themeColor="text1"/>
          <w:sz w:val="22"/>
          <w:szCs w:val="22"/>
        </w:rPr>
        <w:t xml:space="preserve"> bolagens styrelser. Årsstämman fastställer även riktlinjer för ersättning till vd och ledande befattningshavare. Företagets externa ekonomiska revisorer kontrollerar att dessa riktlinjer följs. Stämman fattar beslut i alla frågor som tas upp. Vissa frågor behandlas av särskilda utskott före beslut. Styrelserna har det övergripande ansvaret för organisation och förvaltning av bolaget medan vd, som utses av styrelsen, ansvarar för löpande ledning av bolagen. </w:t>
      </w:r>
    </w:p>
    <w:p w14:paraId="282C0950" w14:textId="0B24DCE4" w:rsidR="00EC1754" w:rsidRPr="00847F4F" w:rsidRDefault="00685D89" w:rsidP="00A2784F">
      <w:pPr>
        <w:pStyle w:val="Default"/>
        <w:spacing w:line="276" w:lineRule="auto"/>
        <w:ind w:left="36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Styrelserna i FRAC</w:t>
      </w:r>
      <w:r w:rsidR="00F53398" w:rsidRPr="00847F4F">
        <w:rPr>
          <w:rFonts w:asciiTheme="minorHAnsi" w:hAnsiTheme="minorHAnsi" w:cstheme="minorBidi"/>
          <w:color w:val="000000" w:themeColor="text1"/>
          <w:sz w:val="22"/>
          <w:szCs w:val="22"/>
        </w:rPr>
        <w:t xml:space="preserve"> och Bilreda</w:t>
      </w:r>
      <w:r w:rsidR="0053403F" w:rsidRPr="00847F4F">
        <w:rPr>
          <w:rFonts w:asciiTheme="minorHAnsi" w:hAnsiTheme="minorHAnsi" w:cstheme="minorBidi"/>
          <w:color w:val="000000" w:themeColor="text1"/>
          <w:sz w:val="22"/>
          <w:szCs w:val="22"/>
        </w:rPr>
        <w:t xml:space="preserve"> består av representanter från aktieägarna</w:t>
      </w:r>
      <w:r w:rsidR="00847F4F" w:rsidRPr="00847F4F">
        <w:rPr>
          <w:rFonts w:asciiTheme="minorHAnsi" w:hAnsiTheme="minorHAnsi" w:cstheme="minorBidi"/>
          <w:color w:val="000000" w:themeColor="text1"/>
          <w:sz w:val="22"/>
          <w:szCs w:val="22"/>
        </w:rPr>
        <w:t>.</w:t>
      </w:r>
      <w:r w:rsidR="0053403F" w:rsidRPr="00847F4F">
        <w:rPr>
          <w:rFonts w:asciiTheme="minorHAnsi" w:hAnsiTheme="minorHAnsi" w:cstheme="minorBidi"/>
          <w:color w:val="000000" w:themeColor="text1"/>
          <w:sz w:val="22"/>
          <w:szCs w:val="22"/>
        </w:rPr>
        <w:t xml:space="preserve"> Ingen av d</w:t>
      </w:r>
      <w:r w:rsidR="00CA0504">
        <w:rPr>
          <w:rFonts w:asciiTheme="minorHAnsi" w:hAnsiTheme="minorHAnsi" w:cstheme="minorBidi"/>
          <w:color w:val="000000" w:themeColor="text1"/>
          <w:sz w:val="22"/>
          <w:szCs w:val="22"/>
        </w:rPr>
        <w:t>essa ingår i företagsledningen förutom VD i FRAC SE, NO och DK.</w:t>
      </w:r>
    </w:p>
    <w:p w14:paraId="770BBA89" w14:textId="77777777" w:rsidR="00847F4F" w:rsidRPr="00847F4F" w:rsidRDefault="00847F4F" w:rsidP="00A2784F">
      <w:pPr>
        <w:pStyle w:val="Default"/>
        <w:spacing w:line="276" w:lineRule="auto"/>
        <w:ind w:left="360"/>
        <w:rPr>
          <w:rFonts w:asciiTheme="minorHAnsi" w:hAnsiTheme="minorHAnsi" w:cstheme="minorBidi"/>
          <w:color w:val="000000" w:themeColor="text1"/>
          <w:sz w:val="22"/>
          <w:szCs w:val="22"/>
        </w:rPr>
      </w:pPr>
    </w:p>
    <w:p w14:paraId="3C6E0D84" w14:textId="219F1DFE" w:rsidR="0053403F" w:rsidRPr="00EA6971" w:rsidRDefault="0053403F" w:rsidP="00A2784F">
      <w:pPr>
        <w:pStyle w:val="Default"/>
        <w:spacing w:line="276" w:lineRule="auto"/>
        <w:ind w:left="360"/>
        <w:rPr>
          <w:rFonts w:asciiTheme="minorHAnsi" w:hAnsiTheme="minorHAnsi" w:cstheme="minorBidi"/>
          <w:color w:val="auto"/>
          <w:sz w:val="22"/>
          <w:szCs w:val="22"/>
        </w:rPr>
      </w:pPr>
      <w:r w:rsidRPr="00847F4F">
        <w:rPr>
          <w:rFonts w:asciiTheme="minorHAnsi" w:hAnsiTheme="minorHAnsi" w:cstheme="minorBidi"/>
          <w:color w:val="000000" w:themeColor="text1"/>
          <w:sz w:val="22"/>
          <w:szCs w:val="22"/>
        </w:rPr>
        <w:t>Styrelserna ha</w:t>
      </w:r>
      <w:r w:rsidR="001E7130">
        <w:rPr>
          <w:rFonts w:asciiTheme="minorHAnsi" w:hAnsiTheme="minorHAnsi" w:cstheme="minorBidi"/>
          <w:color w:val="000000" w:themeColor="text1"/>
          <w:sz w:val="22"/>
          <w:szCs w:val="22"/>
        </w:rPr>
        <w:t>r ingen beslutsrätt kring policye</w:t>
      </w:r>
      <w:r w:rsidRPr="00847F4F">
        <w:rPr>
          <w:rFonts w:asciiTheme="minorHAnsi" w:hAnsiTheme="minorHAnsi" w:cstheme="minorBidi"/>
          <w:color w:val="000000" w:themeColor="text1"/>
          <w:sz w:val="22"/>
          <w:szCs w:val="22"/>
        </w:rPr>
        <w:t>r eller liknande, däremot för investeringsbeslut över 250 000 kronor, finansieringsbeslut samt alla inköp av fast egendom, aktier och andra värdepapper</w:t>
      </w:r>
      <w:r w:rsidR="00A2784F" w:rsidRPr="00847F4F">
        <w:rPr>
          <w:rFonts w:asciiTheme="minorHAnsi" w:hAnsiTheme="minorHAnsi" w:cstheme="minorBidi"/>
          <w:color w:val="000000" w:themeColor="text1"/>
          <w:sz w:val="22"/>
          <w:szCs w:val="22"/>
        </w:rPr>
        <w:t xml:space="preserve">. </w:t>
      </w:r>
      <w:r w:rsidR="00DF076F" w:rsidRPr="00847F4F">
        <w:rPr>
          <w:rFonts w:asciiTheme="minorHAnsi" w:hAnsiTheme="minorHAnsi" w:cstheme="minorBidi"/>
          <w:color w:val="000000" w:themeColor="text1"/>
          <w:sz w:val="22"/>
          <w:szCs w:val="22"/>
        </w:rPr>
        <w:t>Enligt styrelsens arbetsordning har styrelseledamöterna en skyldighet att upplysa ordföranden om de har ett sådant intresse i ett ärende att de är jäviga. Styrelsernas ordförande ansvarar för utvärdering av styrelsens arbete inkluderande enskilda ledamöters insatser. Detta sker årligen enligt en etablerad process. Under 201</w:t>
      </w:r>
      <w:r w:rsidR="00685D89">
        <w:rPr>
          <w:rFonts w:asciiTheme="minorHAnsi" w:hAnsiTheme="minorHAnsi" w:cstheme="minorBidi"/>
          <w:color w:val="000000" w:themeColor="text1"/>
          <w:sz w:val="22"/>
          <w:szCs w:val="22"/>
        </w:rPr>
        <w:t>9</w:t>
      </w:r>
      <w:r w:rsidR="00DF076F" w:rsidRPr="00847F4F">
        <w:rPr>
          <w:rFonts w:asciiTheme="minorHAnsi" w:hAnsiTheme="minorHAnsi" w:cstheme="minorBidi"/>
          <w:color w:val="000000" w:themeColor="text1"/>
          <w:sz w:val="22"/>
          <w:szCs w:val="22"/>
        </w:rPr>
        <w:t xml:space="preserve"> har utvärderingen skett genom diskussioner mellan styrelsens ordförande och enskilda styrelseledamöter samt återkoppling och diskussion i hela styrelsen. Utvärderingen fokuserar bland annat på tillgång och behov av specifik kompetens samt arbetsformer. Vid tillsättning av ny vd utses en </w:t>
      </w:r>
      <w:r w:rsidR="00DF076F" w:rsidRPr="00847F4F">
        <w:rPr>
          <w:rFonts w:asciiTheme="minorHAnsi" w:hAnsiTheme="minorHAnsi" w:cstheme="minorBidi"/>
          <w:color w:val="000000" w:themeColor="text1"/>
          <w:sz w:val="22"/>
          <w:szCs w:val="22"/>
        </w:rPr>
        <w:lastRenderedPageBreak/>
        <w:t xml:space="preserve">valberedning som tar fram kandidater för tjänsten. </w:t>
      </w:r>
      <w:r w:rsidR="00A2784F" w:rsidRPr="00847F4F">
        <w:rPr>
          <w:rFonts w:asciiTheme="minorHAnsi" w:hAnsiTheme="minorHAnsi" w:cstheme="minorBidi"/>
          <w:color w:val="auto"/>
          <w:sz w:val="22"/>
          <w:szCs w:val="22"/>
        </w:rPr>
        <w:t>Ledningsgruppen</w:t>
      </w:r>
      <w:r w:rsidRPr="00847F4F">
        <w:rPr>
          <w:rFonts w:asciiTheme="minorHAnsi" w:hAnsiTheme="minorHAnsi" w:cstheme="minorBidi"/>
          <w:color w:val="auto"/>
          <w:sz w:val="22"/>
          <w:szCs w:val="22"/>
        </w:rPr>
        <w:t xml:space="preserve"> i FRAC bestod under 201</w:t>
      </w:r>
      <w:r w:rsidR="00685D89">
        <w:rPr>
          <w:rFonts w:asciiTheme="minorHAnsi" w:hAnsiTheme="minorHAnsi" w:cstheme="minorBidi"/>
          <w:color w:val="auto"/>
          <w:sz w:val="22"/>
          <w:szCs w:val="22"/>
        </w:rPr>
        <w:t>9</w:t>
      </w:r>
      <w:r w:rsidRPr="00847F4F">
        <w:rPr>
          <w:rFonts w:asciiTheme="minorHAnsi" w:hAnsiTheme="minorHAnsi" w:cstheme="minorBidi"/>
          <w:color w:val="auto"/>
          <w:sz w:val="22"/>
          <w:szCs w:val="22"/>
        </w:rPr>
        <w:t xml:space="preserve"> av </w:t>
      </w:r>
      <w:r w:rsidR="00685D89">
        <w:rPr>
          <w:rFonts w:asciiTheme="minorHAnsi" w:hAnsiTheme="minorHAnsi" w:cstheme="minorBidi"/>
          <w:color w:val="auto"/>
          <w:sz w:val="22"/>
          <w:szCs w:val="22"/>
        </w:rPr>
        <w:t>sju</w:t>
      </w:r>
      <w:r w:rsidRPr="00847F4F">
        <w:rPr>
          <w:rFonts w:asciiTheme="minorHAnsi" w:hAnsiTheme="minorHAnsi" w:cstheme="minorBidi"/>
          <w:color w:val="auto"/>
          <w:sz w:val="22"/>
          <w:szCs w:val="22"/>
        </w:rPr>
        <w:t xml:space="preserve"> per</w:t>
      </w:r>
      <w:r w:rsidR="00A2784F" w:rsidRPr="00847F4F">
        <w:rPr>
          <w:rFonts w:asciiTheme="minorHAnsi" w:hAnsiTheme="minorHAnsi" w:cstheme="minorBidi"/>
          <w:color w:val="auto"/>
          <w:sz w:val="22"/>
          <w:szCs w:val="22"/>
        </w:rPr>
        <w:t>soner och sammanträder på vecko</w:t>
      </w:r>
      <w:r w:rsidRPr="00847F4F">
        <w:rPr>
          <w:rFonts w:asciiTheme="minorHAnsi" w:hAnsiTheme="minorHAnsi" w:cstheme="minorBidi"/>
          <w:color w:val="auto"/>
          <w:sz w:val="22"/>
          <w:szCs w:val="22"/>
        </w:rPr>
        <w:t xml:space="preserve">basis. </w:t>
      </w:r>
      <w:r w:rsidR="00BA75E7" w:rsidRPr="00847F4F">
        <w:rPr>
          <w:rFonts w:asciiTheme="minorHAnsi" w:hAnsiTheme="minorHAnsi" w:cstheme="minorBidi"/>
          <w:color w:val="auto"/>
          <w:sz w:val="22"/>
          <w:szCs w:val="22"/>
        </w:rPr>
        <w:t>L</w:t>
      </w:r>
      <w:r w:rsidR="00685D89">
        <w:rPr>
          <w:rFonts w:asciiTheme="minorHAnsi" w:hAnsiTheme="minorHAnsi" w:cstheme="minorBidi"/>
          <w:color w:val="auto"/>
          <w:sz w:val="22"/>
          <w:szCs w:val="22"/>
        </w:rPr>
        <w:t>edningen i Bilreda består av tre</w:t>
      </w:r>
      <w:r w:rsidR="00BA75E7" w:rsidRPr="00847F4F">
        <w:rPr>
          <w:rFonts w:asciiTheme="minorHAnsi" w:hAnsiTheme="minorHAnsi" w:cstheme="minorBidi"/>
          <w:color w:val="auto"/>
          <w:sz w:val="22"/>
          <w:szCs w:val="22"/>
        </w:rPr>
        <w:t xml:space="preserve"> personer.</w:t>
      </w:r>
      <w:r w:rsidR="00087C02" w:rsidRPr="00EA6971">
        <w:rPr>
          <w:rFonts w:asciiTheme="minorHAnsi" w:hAnsiTheme="minorHAnsi" w:cstheme="minorBidi"/>
          <w:color w:val="auto"/>
          <w:sz w:val="22"/>
          <w:szCs w:val="22"/>
        </w:rPr>
        <w:br/>
      </w:r>
    </w:p>
    <w:p w14:paraId="6509576B" w14:textId="77777777" w:rsidR="00A2784F" w:rsidRPr="00847F4F" w:rsidRDefault="00A2784F" w:rsidP="00DF076F">
      <w:pPr>
        <w:autoSpaceDE w:val="0"/>
        <w:autoSpaceDN w:val="0"/>
        <w:adjustRightInd w:val="0"/>
        <w:spacing w:after="0"/>
        <w:ind w:left="360"/>
      </w:pPr>
      <w:r w:rsidRPr="00847F4F">
        <w:t xml:space="preserve">Medarbetarna har möjlighet att påverka verksamheten genom att lämna förbättringsförslag i avvikelsehanteringssystemet. Om ärendena bedöms bidra till långsiktiga förbättringar bereds de i arbetsgrupper med representanter från relevanta delar av företaget. Ärendena går sedan till ledningen för beslut. Ärenden av större ekonomisk betydelse förs i sin tur upp till styrelserna. </w:t>
      </w:r>
    </w:p>
    <w:p w14:paraId="6449182E" w14:textId="6E994419" w:rsidR="00A2784F" w:rsidRDefault="00A2784F" w:rsidP="00DF076F">
      <w:pPr>
        <w:pStyle w:val="Default"/>
        <w:spacing w:line="276" w:lineRule="auto"/>
        <w:ind w:left="360"/>
        <w:rPr>
          <w:rFonts w:asciiTheme="minorHAnsi" w:hAnsiTheme="minorHAnsi" w:cstheme="minorBidi"/>
          <w:color w:val="auto"/>
          <w:sz w:val="22"/>
          <w:szCs w:val="22"/>
        </w:rPr>
      </w:pPr>
      <w:r w:rsidRPr="00847F4F">
        <w:rPr>
          <w:rFonts w:asciiTheme="minorHAnsi" w:hAnsiTheme="minorHAnsi" w:cstheme="minorBidi"/>
          <w:color w:val="auto"/>
          <w:sz w:val="22"/>
          <w:szCs w:val="22"/>
        </w:rPr>
        <w:t>Styrelserna har ingen resultatbaserad ersättning. Ledningen har bonusprogram best</w:t>
      </w:r>
      <w:r w:rsidR="00847F4F" w:rsidRPr="00847F4F">
        <w:rPr>
          <w:rFonts w:asciiTheme="minorHAnsi" w:hAnsiTheme="minorHAnsi" w:cstheme="minorBidi"/>
          <w:color w:val="auto"/>
          <w:sz w:val="22"/>
          <w:szCs w:val="22"/>
        </w:rPr>
        <w:t>ående av en rörlig lönedel.</w:t>
      </w:r>
      <w:r w:rsidRPr="00847F4F">
        <w:rPr>
          <w:rFonts w:asciiTheme="minorHAnsi" w:hAnsiTheme="minorHAnsi" w:cstheme="minorBidi"/>
          <w:color w:val="auto"/>
          <w:sz w:val="22"/>
          <w:szCs w:val="22"/>
        </w:rPr>
        <w:t xml:space="preserve"> Säljare, stationschefer, </w:t>
      </w:r>
      <w:r w:rsidR="001053E3" w:rsidRPr="00847F4F">
        <w:rPr>
          <w:rFonts w:asciiTheme="minorHAnsi" w:hAnsiTheme="minorHAnsi" w:cstheme="minorBidi"/>
          <w:color w:val="auto"/>
          <w:sz w:val="22"/>
          <w:szCs w:val="22"/>
        </w:rPr>
        <w:t>r</w:t>
      </w:r>
      <w:r w:rsidRPr="00847F4F">
        <w:rPr>
          <w:rFonts w:asciiTheme="minorHAnsi" w:hAnsiTheme="minorHAnsi" w:cstheme="minorBidi"/>
          <w:color w:val="auto"/>
          <w:sz w:val="22"/>
          <w:szCs w:val="22"/>
        </w:rPr>
        <w:t xml:space="preserve">egionchefer samt vissa nyckelpersoner </w:t>
      </w:r>
      <w:r w:rsidR="00087C02" w:rsidRPr="00847F4F">
        <w:rPr>
          <w:rFonts w:asciiTheme="minorHAnsi" w:hAnsiTheme="minorHAnsi" w:cstheme="minorBidi"/>
          <w:color w:val="auto"/>
          <w:sz w:val="22"/>
          <w:szCs w:val="22"/>
        </w:rPr>
        <w:t xml:space="preserve">får </w:t>
      </w:r>
      <w:r w:rsidRPr="00847F4F">
        <w:rPr>
          <w:rFonts w:asciiTheme="minorHAnsi" w:hAnsiTheme="minorHAnsi" w:cstheme="minorBidi"/>
          <w:color w:val="auto"/>
          <w:sz w:val="22"/>
          <w:szCs w:val="22"/>
        </w:rPr>
        <w:t>en resultatbaserad ersättning om uppsatta mål nåtts.</w:t>
      </w:r>
      <w:r w:rsidRPr="00EA6971">
        <w:rPr>
          <w:rFonts w:asciiTheme="minorHAnsi" w:hAnsiTheme="minorHAnsi" w:cstheme="minorBidi"/>
          <w:color w:val="auto"/>
          <w:sz w:val="22"/>
          <w:szCs w:val="22"/>
        </w:rPr>
        <w:t xml:space="preserve"> </w:t>
      </w:r>
    </w:p>
    <w:p w14:paraId="7D193FD2" w14:textId="77777777" w:rsidR="005A0BDD" w:rsidRPr="00EA6971" w:rsidRDefault="005A0BDD" w:rsidP="00DF076F">
      <w:pPr>
        <w:pStyle w:val="Default"/>
        <w:spacing w:line="276" w:lineRule="auto"/>
        <w:ind w:left="360"/>
        <w:rPr>
          <w:rFonts w:asciiTheme="minorHAnsi" w:hAnsiTheme="minorHAnsi" w:cstheme="minorBidi"/>
          <w:color w:val="auto"/>
          <w:sz w:val="22"/>
          <w:szCs w:val="22"/>
        </w:rPr>
      </w:pPr>
    </w:p>
    <w:tbl>
      <w:tblPr>
        <w:tblW w:w="8658" w:type="dxa"/>
        <w:tblInd w:w="562" w:type="dxa"/>
        <w:tblCellMar>
          <w:left w:w="70" w:type="dxa"/>
          <w:right w:w="70" w:type="dxa"/>
        </w:tblCellMar>
        <w:tblLook w:val="04A0" w:firstRow="1" w:lastRow="0" w:firstColumn="1" w:lastColumn="0" w:noHBand="0" w:noVBand="1"/>
      </w:tblPr>
      <w:tblGrid>
        <w:gridCol w:w="3938"/>
        <w:gridCol w:w="960"/>
        <w:gridCol w:w="960"/>
        <w:gridCol w:w="960"/>
        <w:gridCol w:w="960"/>
        <w:gridCol w:w="880"/>
      </w:tblGrid>
      <w:tr w:rsidR="0068347F" w:rsidRPr="00AD5204" w14:paraId="2E7F0B65" w14:textId="77777777" w:rsidTr="0056193F">
        <w:trPr>
          <w:trHeight w:val="264"/>
        </w:trPr>
        <w:tc>
          <w:tcPr>
            <w:tcW w:w="393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CB25426" w14:textId="77777777" w:rsidR="0068347F" w:rsidRPr="00A53479" w:rsidRDefault="0068347F" w:rsidP="0068347F">
            <w:pPr>
              <w:spacing w:after="0" w:line="240" w:lineRule="auto"/>
              <w:rPr>
                <w:rFonts w:ascii="Arial" w:eastAsia="Times New Roman" w:hAnsi="Arial" w:cs="Arial"/>
                <w:b/>
                <w:bCs/>
                <w:sz w:val="20"/>
                <w:szCs w:val="20"/>
                <w:lang w:eastAsia="sv-SE"/>
              </w:rPr>
            </w:pPr>
            <w:r w:rsidRPr="00A53479">
              <w:rPr>
                <w:rFonts w:ascii="Arial" w:eastAsia="Times New Roman" w:hAnsi="Arial" w:cs="Arial"/>
                <w:b/>
                <w:bCs/>
                <w:sz w:val="20"/>
                <w:szCs w:val="20"/>
                <w:lang w:eastAsia="sv-SE"/>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tcPr>
          <w:p w14:paraId="70530F31" w14:textId="658F18F3" w:rsidR="0068347F" w:rsidRPr="00A53479" w:rsidRDefault="001E7130" w:rsidP="0068347F">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2015</w:t>
            </w:r>
          </w:p>
        </w:tc>
        <w:tc>
          <w:tcPr>
            <w:tcW w:w="960" w:type="dxa"/>
            <w:tcBorders>
              <w:top w:val="single" w:sz="4" w:space="0" w:color="auto"/>
              <w:left w:val="nil"/>
              <w:bottom w:val="single" w:sz="4" w:space="0" w:color="auto"/>
              <w:right w:val="single" w:sz="4" w:space="0" w:color="auto"/>
            </w:tcBorders>
            <w:shd w:val="clear" w:color="000000" w:fill="FFFF00"/>
            <w:noWrap/>
            <w:vAlign w:val="bottom"/>
          </w:tcPr>
          <w:p w14:paraId="3D7ABF64" w14:textId="19C7128B" w:rsidR="0068347F" w:rsidRPr="00A53479" w:rsidRDefault="001E7130" w:rsidP="0068347F">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2016</w:t>
            </w:r>
          </w:p>
        </w:tc>
        <w:tc>
          <w:tcPr>
            <w:tcW w:w="960" w:type="dxa"/>
            <w:tcBorders>
              <w:top w:val="single" w:sz="4" w:space="0" w:color="auto"/>
              <w:left w:val="nil"/>
              <w:bottom w:val="single" w:sz="4" w:space="0" w:color="auto"/>
              <w:right w:val="single" w:sz="4" w:space="0" w:color="auto"/>
            </w:tcBorders>
            <w:shd w:val="clear" w:color="000000" w:fill="FFFF00"/>
            <w:noWrap/>
            <w:vAlign w:val="bottom"/>
          </w:tcPr>
          <w:p w14:paraId="290D2B15" w14:textId="14716A17" w:rsidR="0068347F" w:rsidRPr="00A53479" w:rsidRDefault="001E7130" w:rsidP="0068347F">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2017</w:t>
            </w:r>
          </w:p>
        </w:tc>
        <w:tc>
          <w:tcPr>
            <w:tcW w:w="960" w:type="dxa"/>
            <w:tcBorders>
              <w:top w:val="single" w:sz="4" w:space="0" w:color="auto"/>
              <w:left w:val="nil"/>
              <w:bottom w:val="single" w:sz="4" w:space="0" w:color="auto"/>
              <w:right w:val="single" w:sz="4" w:space="0" w:color="auto"/>
            </w:tcBorders>
            <w:shd w:val="clear" w:color="000000" w:fill="FFFF00"/>
            <w:noWrap/>
            <w:vAlign w:val="bottom"/>
          </w:tcPr>
          <w:p w14:paraId="793A909A" w14:textId="32AE555F" w:rsidR="0068347F" w:rsidRPr="00A53479" w:rsidRDefault="001E7130" w:rsidP="0068347F">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2018</w:t>
            </w:r>
          </w:p>
        </w:tc>
        <w:tc>
          <w:tcPr>
            <w:tcW w:w="880" w:type="dxa"/>
            <w:tcBorders>
              <w:top w:val="single" w:sz="4" w:space="0" w:color="auto"/>
              <w:left w:val="nil"/>
              <w:bottom w:val="single" w:sz="4" w:space="0" w:color="auto"/>
              <w:right w:val="single" w:sz="4" w:space="0" w:color="auto"/>
            </w:tcBorders>
            <w:shd w:val="clear" w:color="000000" w:fill="FFFF00"/>
            <w:noWrap/>
            <w:vAlign w:val="bottom"/>
          </w:tcPr>
          <w:p w14:paraId="56CA6B31" w14:textId="6424A5E0" w:rsidR="0068347F" w:rsidRPr="00A53479" w:rsidRDefault="001E7130" w:rsidP="0068347F">
            <w:pPr>
              <w:spacing w:after="0" w:line="240" w:lineRule="auto"/>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2019</w:t>
            </w:r>
          </w:p>
        </w:tc>
      </w:tr>
      <w:tr w:rsidR="00A53479" w:rsidRPr="00AD5204" w14:paraId="7035DE3D" w14:textId="77777777" w:rsidTr="0056193F">
        <w:trPr>
          <w:trHeight w:val="324"/>
        </w:trPr>
        <w:tc>
          <w:tcPr>
            <w:tcW w:w="3938" w:type="dxa"/>
            <w:tcBorders>
              <w:top w:val="nil"/>
              <w:left w:val="single" w:sz="8" w:space="0" w:color="auto"/>
              <w:bottom w:val="single" w:sz="8" w:space="0" w:color="auto"/>
              <w:right w:val="single" w:sz="8" w:space="0" w:color="auto"/>
            </w:tcBorders>
            <w:shd w:val="clear" w:color="auto" w:fill="auto"/>
            <w:hideMark/>
          </w:tcPr>
          <w:p w14:paraId="5AE4FE4D" w14:textId="77777777" w:rsidR="00A53479" w:rsidRPr="00A53479" w:rsidRDefault="00A53479" w:rsidP="00A53479">
            <w:pPr>
              <w:spacing w:after="0" w:line="240" w:lineRule="auto"/>
              <w:rPr>
                <w:rFonts w:ascii="Garamond" w:eastAsia="Times New Roman" w:hAnsi="Garamond" w:cs="Arial"/>
                <w:sz w:val="24"/>
                <w:szCs w:val="24"/>
                <w:lang w:eastAsia="sv-SE"/>
              </w:rPr>
            </w:pPr>
            <w:r w:rsidRPr="00A53479">
              <w:rPr>
                <w:rFonts w:ascii="Garamond" w:eastAsia="Times New Roman" w:hAnsi="Garamond" w:cs="Arial"/>
                <w:sz w:val="24"/>
                <w:szCs w:val="24"/>
                <w:lang w:eastAsia="sv-SE"/>
              </w:rPr>
              <w:t>Antal biluthyrningskontor, FRAC</w:t>
            </w:r>
          </w:p>
        </w:tc>
        <w:tc>
          <w:tcPr>
            <w:tcW w:w="960" w:type="dxa"/>
            <w:tcBorders>
              <w:top w:val="nil"/>
              <w:left w:val="nil"/>
              <w:bottom w:val="single" w:sz="8" w:space="0" w:color="auto"/>
              <w:right w:val="single" w:sz="8" w:space="0" w:color="auto"/>
            </w:tcBorders>
            <w:shd w:val="clear" w:color="auto" w:fill="auto"/>
          </w:tcPr>
          <w:p w14:paraId="1DFCBD4C" w14:textId="50D83523"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43</w:t>
            </w:r>
          </w:p>
        </w:tc>
        <w:tc>
          <w:tcPr>
            <w:tcW w:w="960" w:type="dxa"/>
            <w:tcBorders>
              <w:top w:val="nil"/>
              <w:left w:val="nil"/>
              <w:bottom w:val="single" w:sz="8" w:space="0" w:color="auto"/>
              <w:right w:val="single" w:sz="8" w:space="0" w:color="auto"/>
            </w:tcBorders>
            <w:shd w:val="clear" w:color="auto" w:fill="auto"/>
          </w:tcPr>
          <w:p w14:paraId="03F6C09D" w14:textId="17EC18F7"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36</w:t>
            </w:r>
          </w:p>
        </w:tc>
        <w:tc>
          <w:tcPr>
            <w:tcW w:w="960" w:type="dxa"/>
            <w:tcBorders>
              <w:top w:val="nil"/>
              <w:left w:val="nil"/>
              <w:bottom w:val="single" w:sz="8" w:space="0" w:color="auto"/>
              <w:right w:val="single" w:sz="8" w:space="0" w:color="auto"/>
            </w:tcBorders>
            <w:shd w:val="clear" w:color="auto" w:fill="auto"/>
          </w:tcPr>
          <w:p w14:paraId="2C47FCC3" w14:textId="2474DF0D"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39</w:t>
            </w:r>
          </w:p>
        </w:tc>
        <w:tc>
          <w:tcPr>
            <w:tcW w:w="960" w:type="dxa"/>
            <w:tcBorders>
              <w:top w:val="nil"/>
              <w:left w:val="nil"/>
              <w:bottom w:val="single" w:sz="8" w:space="0" w:color="auto"/>
              <w:right w:val="single" w:sz="8" w:space="0" w:color="auto"/>
            </w:tcBorders>
            <w:shd w:val="clear" w:color="auto" w:fill="auto"/>
          </w:tcPr>
          <w:p w14:paraId="60B88161" w14:textId="7BE9A354"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BA6D36">
              <w:rPr>
                <w:rFonts w:ascii="Garamond" w:hAnsi="Garamond"/>
                <w:b/>
                <w:bCs/>
                <w:color w:val="000000" w:themeColor="text1"/>
                <w:sz w:val="24"/>
                <w:szCs w:val="24"/>
                <w:lang w:eastAsia="sv-SE"/>
              </w:rPr>
              <w:t>38</w:t>
            </w:r>
          </w:p>
        </w:tc>
        <w:tc>
          <w:tcPr>
            <w:tcW w:w="880" w:type="dxa"/>
            <w:tcBorders>
              <w:top w:val="nil"/>
              <w:left w:val="nil"/>
              <w:bottom w:val="single" w:sz="8" w:space="0" w:color="auto"/>
              <w:right w:val="single" w:sz="8" w:space="0" w:color="auto"/>
            </w:tcBorders>
            <w:shd w:val="clear" w:color="auto" w:fill="auto"/>
          </w:tcPr>
          <w:p w14:paraId="21485D74" w14:textId="03C6CA5F" w:rsidR="00A53479" w:rsidRPr="00BA6D36" w:rsidRDefault="008F2C32" w:rsidP="00A53479">
            <w:pPr>
              <w:spacing w:after="0" w:line="240" w:lineRule="auto"/>
              <w:jc w:val="center"/>
              <w:rPr>
                <w:rFonts w:ascii="Garamond" w:eastAsia="Times New Roman" w:hAnsi="Garamond" w:cs="Arial"/>
                <w:b/>
                <w:bCs/>
                <w:color w:val="000000" w:themeColor="text1"/>
                <w:sz w:val="24"/>
                <w:szCs w:val="24"/>
                <w:lang w:eastAsia="sv-SE"/>
              </w:rPr>
            </w:pPr>
            <w:r>
              <w:rPr>
                <w:rFonts w:ascii="Garamond" w:eastAsia="Times New Roman" w:hAnsi="Garamond" w:cs="Arial"/>
                <w:b/>
                <w:bCs/>
                <w:color w:val="000000" w:themeColor="text1"/>
                <w:sz w:val="24"/>
                <w:szCs w:val="24"/>
                <w:lang w:eastAsia="sv-SE"/>
              </w:rPr>
              <w:t>38</w:t>
            </w:r>
          </w:p>
        </w:tc>
      </w:tr>
      <w:tr w:rsidR="00A53479" w:rsidRPr="00AD5204" w14:paraId="0A6C7E8D" w14:textId="77777777" w:rsidTr="0056193F">
        <w:trPr>
          <w:trHeight w:val="324"/>
        </w:trPr>
        <w:tc>
          <w:tcPr>
            <w:tcW w:w="3938" w:type="dxa"/>
            <w:tcBorders>
              <w:top w:val="nil"/>
              <w:left w:val="single" w:sz="8" w:space="0" w:color="auto"/>
              <w:bottom w:val="single" w:sz="8" w:space="0" w:color="auto"/>
              <w:right w:val="single" w:sz="8" w:space="0" w:color="auto"/>
            </w:tcBorders>
            <w:shd w:val="clear" w:color="auto" w:fill="auto"/>
            <w:hideMark/>
          </w:tcPr>
          <w:p w14:paraId="5D9BC5B7" w14:textId="77777777" w:rsidR="00A53479" w:rsidRPr="00A53479" w:rsidRDefault="00A53479" w:rsidP="00A53479">
            <w:pPr>
              <w:spacing w:after="0" w:line="240" w:lineRule="auto"/>
              <w:rPr>
                <w:rFonts w:ascii="Garamond" w:eastAsia="Times New Roman" w:hAnsi="Garamond" w:cs="Arial"/>
                <w:sz w:val="24"/>
                <w:szCs w:val="24"/>
                <w:lang w:eastAsia="sv-SE"/>
              </w:rPr>
            </w:pPr>
            <w:r w:rsidRPr="00A53479">
              <w:rPr>
                <w:rFonts w:ascii="Garamond" w:eastAsia="Times New Roman" w:hAnsi="Garamond" w:cs="Arial"/>
                <w:sz w:val="24"/>
                <w:szCs w:val="24"/>
                <w:lang w:eastAsia="sv-SE"/>
              </w:rPr>
              <w:t>Antal biluthyrningskontor, återförsäljare</w:t>
            </w:r>
          </w:p>
        </w:tc>
        <w:tc>
          <w:tcPr>
            <w:tcW w:w="960" w:type="dxa"/>
            <w:tcBorders>
              <w:top w:val="nil"/>
              <w:left w:val="nil"/>
              <w:bottom w:val="single" w:sz="8" w:space="0" w:color="auto"/>
              <w:right w:val="single" w:sz="8" w:space="0" w:color="auto"/>
            </w:tcBorders>
            <w:shd w:val="clear" w:color="auto" w:fill="auto"/>
          </w:tcPr>
          <w:p w14:paraId="3BFCEB8D" w14:textId="0579D959"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173</w:t>
            </w:r>
          </w:p>
        </w:tc>
        <w:tc>
          <w:tcPr>
            <w:tcW w:w="960" w:type="dxa"/>
            <w:tcBorders>
              <w:top w:val="nil"/>
              <w:left w:val="nil"/>
              <w:bottom w:val="single" w:sz="8" w:space="0" w:color="auto"/>
              <w:right w:val="single" w:sz="8" w:space="0" w:color="auto"/>
            </w:tcBorders>
            <w:shd w:val="clear" w:color="auto" w:fill="auto"/>
          </w:tcPr>
          <w:p w14:paraId="70E5538A" w14:textId="48B10475"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181</w:t>
            </w:r>
          </w:p>
        </w:tc>
        <w:tc>
          <w:tcPr>
            <w:tcW w:w="960" w:type="dxa"/>
            <w:tcBorders>
              <w:top w:val="nil"/>
              <w:left w:val="nil"/>
              <w:bottom w:val="single" w:sz="8" w:space="0" w:color="auto"/>
              <w:right w:val="single" w:sz="8" w:space="0" w:color="auto"/>
            </w:tcBorders>
            <w:shd w:val="clear" w:color="auto" w:fill="auto"/>
          </w:tcPr>
          <w:p w14:paraId="28C2D4BD" w14:textId="7865DE9C"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169</w:t>
            </w:r>
          </w:p>
        </w:tc>
        <w:tc>
          <w:tcPr>
            <w:tcW w:w="960" w:type="dxa"/>
            <w:tcBorders>
              <w:top w:val="nil"/>
              <w:left w:val="nil"/>
              <w:bottom w:val="single" w:sz="8" w:space="0" w:color="auto"/>
              <w:right w:val="single" w:sz="8" w:space="0" w:color="auto"/>
            </w:tcBorders>
            <w:shd w:val="clear" w:color="auto" w:fill="auto"/>
          </w:tcPr>
          <w:p w14:paraId="55681706" w14:textId="4BEA93EA"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BA6D36">
              <w:rPr>
                <w:rFonts w:ascii="Garamond" w:hAnsi="Garamond"/>
                <w:b/>
                <w:bCs/>
                <w:color w:val="000000" w:themeColor="text1"/>
                <w:sz w:val="24"/>
                <w:szCs w:val="24"/>
                <w:lang w:eastAsia="sv-SE"/>
              </w:rPr>
              <w:t>173 *</w:t>
            </w:r>
          </w:p>
        </w:tc>
        <w:tc>
          <w:tcPr>
            <w:tcW w:w="880" w:type="dxa"/>
            <w:tcBorders>
              <w:top w:val="nil"/>
              <w:left w:val="nil"/>
              <w:bottom w:val="single" w:sz="8" w:space="0" w:color="auto"/>
              <w:right w:val="single" w:sz="8" w:space="0" w:color="auto"/>
            </w:tcBorders>
            <w:shd w:val="clear" w:color="auto" w:fill="auto"/>
          </w:tcPr>
          <w:p w14:paraId="15481C25" w14:textId="28AC5B63" w:rsidR="00A53479" w:rsidRPr="00BA6D36" w:rsidRDefault="008F2C32" w:rsidP="00A53479">
            <w:pPr>
              <w:spacing w:after="0" w:line="240" w:lineRule="auto"/>
              <w:jc w:val="center"/>
              <w:rPr>
                <w:rFonts w:ascii="Garamond" w:eastAsia="Times New Roman" w:hAnsi="Garamond" w:cs="Arial"/>
                <w:b/>
                <w:bCs/>
                <w:color w:val="000000" w:themeColor="text1"/>
                <w:sz w:val="24"/>
                <w:szCs w:val="24"/>
                <w:lang w:eastAsia="sv-SE"/>
              </w:rPr>
            </w:pPr>
            <w:r>
              <w:rPr>
                <w:rFonts w:ascii="Garamond" w:eastAsia="Times New Roman" w:hAnsi="Garamond" w:cs="Arial"/>
                <w:b/>
                <w:bCs/>
                <w:color w:val="000000" w:themeColor="text1"/>
                <w:sz w:val="24"/>
                <w:szCs w:val="24"/>
                <w:lang w:eastAsia="sv-SE"/>
              </w:rPr>
              <w:t>157</w:t>
            </w:r>
          </w:p>
        </w:tc>
      </w:tr>
      <w:tr w:rsidR="00A53479" w:rsidRPr="00AD5204" w14:paraId="1AFF48E8" w14:textId="77777777" w:rsidTr="0056193F">
        <w:trPr>
          <w:trHeight w:val="324"/>
        </w:trPr>
        <w:tc>
          <w:tcPr>
            <w:tcW w:w="3938" w:type="dxa"/>
            <w:tcBorders>
              <w:top w:val="nil"/>
              <w:left w:val="single" w:sz="8" w:space="0" w:color="auto"/>
              <w:bottom w:val="single" w:sz="8" w:space="0" w:color="auto"/>
              <w:right w:val="single" w:sz="8" w:space="0" w:color="auto"/>
            </w:tcBorders>
            <w:shd w:val="clear" w:color="auto" w:fill="auto"/>
            <w:hideMark/>
          </w:tcPr>
          <w:p w14:paraId="7F3FA928" w14:textId="77777777" w:rsidR="00A53479" w:rsidRPr="00A53479" w:rsidRDefault="00A53479" w:rsidP="00A53479">
            <w:pPr>
              <w:spacing w:after="0" w:line="240" w:lineRule="auto"/>
              <w:rPr>
                <w:rFonts w:ascii="Garamond" w:eastAsia="Times New Roman" w:hAnsi="Garamond" w:cs="Arial"/>
                <w:sz w:val="24"/>
                <w:szCs w:val="24"/>
                <w:lang w:eastAsia="sv-SE"/>
              </w:rPr>
            </w:pPr>
            <w:r w:rsidRPr="00A53479">
              <w:rPr>
                <w:rFonts w:ascii="Garamond" w:eastAsia="Times New Roman" w:hAnsi="Garamond" w:cs="Arial"/>
                <w:sz w:val="24"/>
                <w:szCs w:val="24"/>
                <w:lang w:eastAsia="sv-SE"/>
              </w:rPr>
              <w:t>Antal biluthyrningskontor, agenter</w:t>
            </w:r>
          </w:p>
        </w:tc>
        <w:tc>
          <w:tcPr>
            <w:tcW w:w="960" w:type="dxa"/>
            <w:tcBorders>
              <w:top w:val="nil"/>
              <w:left w:val="nil"/>
              <w:bottom w:val="single" w:sz="8" w:space="0" w:color="auto"/>
              <w:right w:val="single" w:sz="8" w:space="0" w:color="auto"/>
            </w:tcBorders>
            <w:shd w:val="clear" w:color="auto" w:fill="auto"/>
          </w:tcPr>
          <w:p w14:paraId="48495DBD" w14:textId="7D0CA7BF"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3</w:t>
            </w:r>
          </w:p>
        </w:tc>
        <w:tc>
          <w:tcPr>
            <w:tcW w:w="960" w:type="dxa"/>
            <w:tcBorders>
              <w:top w:val="nil"/>
              <w:left w:val="nil"/>
              <w:bottom w:val="single" w:sz="8" w:space="0" w:color="auto"/>
              <w:right w:val="single" w:sz="8" w:space="0" w:color="auto"/>
            </w:tcBorders>
            <w:shd w:val="clear" w:color="auto" w:fill="auto"/>
          </w:tcPr>
          <w:p w14:paraId="419DFF64" w14:textId="19D92723" w:rsidR="00A53479" w:rsidRPr="00A53479" w:rsidRDefault="001E7130" w:rsidP="00A53479">
            <w:pPr>
              <w:spacing w:after="0" w:line="240" w:lineRule="auto"/>
              <w:jc w:val="center"/>
              <w:rPr>
                <w:rFonts w:ascii="Calibri" w:eastAsia="Times New Roman" w:hAnsi="Calibri" w:cs="Arial"/>
                <w:b/>
                <w:bCs/>
                <w:sz w:val="20"/>
                <w:szCs w:val="20"/>
                <w:lang w:eastAsia="sv-SE"/>
              </w:rPr>
            </w:pPr>
            <w:r w:rsidRPr="00A53479">
              <w:rPr>
                <w:rFonts w:ascii="Garamond" w:eastAsia="Times New Roman" w:hAnsi="Garamond" w:cs="Arial"/>
                <w:b/>
                <w:bCs/>
                <w:sz w:val="24"/>
                <w:szCs w:val="24"/>
                <w:lang w:eastAsia="sv-SE"/>
              </w:rPr>
              <w:t>3 </w:t>
            </w:r>
          </w:p>
        </w:tc>
        <w:tc>
          <w:tcPr>
            <w:tcW w:w="960" w:type="dxa"/>
            <w:tcBorders>
              <w:top w:val="nil"/>
              <w:left w:val="nil"/>
              <w:bottom w:val="single" w:sz="8" w:space="0" w:color="auto"/>
              <w:right w:val="single" w:sz="8" w:space="0" w:color="auto"/>
            </w:tcBorders>
            <w:shd w:val="clear" w:color="auto" w:fill="auto"/>
          </w:tcPr>
          <w:p w14:paraId="655B7019" w14:textId="6E87F51E"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2</w:t>
            </w:r>
          </w:p>
        </w:tc>
        <w:tc>
          <w:tcPr>
            <w:tcW w:w="960" w:type="dxa"/>
            <w:tcBorders>
              <w:top w:val="nil"/>
              <w:left w:val="nil"/>
              <w:bottom w:val="single" w:sz="8" w:space="0" w:color="auto"/>
              <w:right w:val="single" w:sz="8" w:space="0" w:color="auto"/>
            </w:tcBorders>
            <w:shd w:val="clear" w:color="auto" w:fill="auto"/>
          </w:tcPr>
          <w:p w14:paraId="7FE867F0" w14:textId="1D63E2CE"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BA6D36">
              <w:rPr>
                <w:rFonts w:ascii="Garamond" w:hAnsi="Garamond"/>
                <w:b/>
                <w:bCs/>
                <w:color w:val="000000" w:themeColor="text1"/>
                <w:sz w:val="24"/>
                <w:szCs w:val="24"/>
                <w:lang w:eastAsia="sv-SE"/>
              </w:rPr>
              <w:t>2</w:t>
            </w:r>
          </w:p>
        </w:tc>
        <w:tc>
          <w:tcPr>
            <w:tcW w:w="880" w:type="dxa"/>
            <w:tcBorders>
              <w:top w:val="nil"/>
              <w:left w:val="nil"/>
              <w:bottom w:val="single" w:sz="8" w:space="0" w:color="auto"/>
              <w:right w:val="single" w:sz="8" w:space="0" w:color="auto"/>
            </w:tcBorders>
            <w:shd w:val="clear" w:color="auto" w:fill="auto"/>
          </w:tcPr>
          <w:p w14:paraId="11E861DE" w14:textId="773AAD1E" w:rsidR="00A53479" w:rsidRPr="00BA6D36" w:rsidRDefault="008F2C32" w:rsidP="00A53479">
            <w:pPr>
              <w:spacing w:after="0" w:line="240" w:lineRule="auto"/>
              <w:jc w:val="center"/>
              <w:rPr>
                <w:rFonts w:ascii="Garamond" w:eastAsia="Times New Roman" w:hAnsi="Garamond" w:cs="Arial"/>
                <w:b/>
                <w:bCs/>
                <w:color w:val="000000" w:themeColor="text1"/>
                <w:sz w:val="24"/>
                <w:szCs w:val="24"/>
                <w:lang w:eastAsia="sv-SE"/>
              </w:rPr>
            </w:pPr>
            <w:r>
              <w:rPr>
                <w:rFonts w:ascii="Garamond" w:eastAsia="Times New Roman" w:hAnsi="Garamond" w:cs="Arial"/>
                <w:b/>
                <w:bCs/>
                <w:color w:val="000000" w:themeColor="text1"/>
                <w:sz w:val="24"/>
                <w:szCs w:val="24"/>
                <w:lang w:eastAsia="sv-SE"/>
              </w:rPr>
              <w:t>1</w:t>
            </w:r>
          </w:p>
        </w:tc>
      </w:tr>
      <w:tr w:rsidR="00A53479" w:rsidRPr="00AD5204" w14:paraId="58B5269F" w14:textId="77777777" w:rsidTr="0056193F">
        <w:trPr>
          <w:trHeight w:val="324"/>
        </w:trPr>
        <w:tc>
          <w:tcPr>
            <w:tcW w:w="3938" w:type="dxa"/>
            <w:tcBorders>
              <w:top w:val="nil"/>
              <w:left w:val="single" w:sz="8" w:space="0" w:color="auto"/>
              <w:bottom w:val="single" w:sz="8" w:space="0" w:color="auto"/>
              <w:right w:val="single" w:sz="8" w:space="0" w:color="auto"/>
            </w:tcBorders>
            <w:shd w:val="clear" w:color="auto" w:fill="auto"/>
            <w:hideMark/>
          </w:tcPr>
          <w:p w14:paraId="4E9CBC27" w14:textId="77777777" w:rsidR="00A53479" w:rsidRPr="00A53479" w:rsidRDefault="00A53479" w:rsidP="00A53479">
            <w:pPr>
              <w:spacing w:after="0" w:line="240" w:lineRule="auto"/>
              <w:rPr>
                <w:rFonts w:ascii="Garamond" w:eastAsia="Times New Roman" w:hAnsi="Garamond" w:cs="Arial"/>
                <w:sz w:val="24"/>
                <w:szCs w:val="24"/>
                <w:lang w:val="da-DK" w:eastAsia="sv-SE"/>
              </w:rPr>
            </w:pPr>
            <w:r w:rsidRPr="00A53479">
              <w:rPr>
                <w:rFonts w:ascii="Garamond" w:eastAsia="Times New Roman" w:hAnsi="Garamond" w:cs="Arial"/>
                <w:sz w:val="24"/>
                <w:szCs w:val="24"/>
                <w:lang w:val="da-DK" w:eastAsia="sv-SE"/>
              </w:rPr>
              <w:t>Antal Hertz Self Service-kiosker</w:t>
            </w:r>
          </w:p>
        </w:tc>
        <w:tc>
          <w:tcPr>
            <w:tcW w:w="960" w:type="dxa"/>
            <w:tcBorders>
              <w:top w:val="nil"/>
              <w:left w:val="nil"/>
              <w:bottom w:val="single" w:sz="8" w:space="0" w:color="auto"/>
              <w:right w:val="single" w:sz="8" w:space="0" w:color="auto"/>
            </w:tcBorders>
            <w:shd w:val="clear" w:color="auto" w:fill="auto"/>
          </w:tcPr>
          <w:p w14:paraId="6DEB1622" w14:textId="414EE752"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37</w:t>
            </w:r>
          </w:p>
        </w:tc>
        <w:tc>
          <w:tcPr>
            <w:tcW w:w="960" w:type="dxa"/>
            <w:tcBorders>
              <w:top w:val="nil"/>
              <w:left w:val="nil"/>
              <w:bottom w:val="single" w:sz="8" w:space="0" w:color="auto"/>
              <w:right w:val="single" w:sz="8" w:space="0" w:color="auto"/>
            </w:tcBorders>
            <w:shd w:val="clear" w:color="auto" w:fill="auto"/>
          </w:tcPr>
          <w:p w14:paraId="6EBCFAC1" w14:textId="1E50824A" w:rsidR="00A53479" w:rsidRPr="00A53479" w:rsidRDefault="001E7130" w:rsidP="00A53479">
            <w:pPr>
              <w:spacing w:after="0" w:line="240" w:lineRule="auto"/>
              <w:jc w:val="center"/>
              <w:rPr>
                <w:rFonts w:ascii="Calibri" w:eastAsia="Times New Roman" w:hAnsi="Calibri" w:cs="Arial"/>
                <w:b/>
                <w:bCs/>
                <w:sz w:val="20"/>
                <w:szCs w:val="20"/>
                <w:lang w:eastAsia="sv-SE"/>
              </w:rPr>
            </w:pPr>
            <w:r w:rsidRPr="00A53479">
              <w:rPr>
                <w:rFonts w:ascii="Garamond" w:eastAsia="Times New Roman" w:hAnsi="Garamond" w:cs="Arial"/>
                <w:b/>
                <w:bCs/>
                <w:sz w:val="24"/>
                <w:szCs w:val="24"/>
                <w:lang w:eastAsia="sv-SE"/>
              </w:rPr>
              <w:t>42</w:t>
            </w:r>
          </w:p>
        </w:tc>
        <w:tc>
          <w:tcPr>
            <w:tcW w:w="960" w:type="dxa"/>
            <w:tcBorders>
              <w:top w:val="nil"/>
              <w:left w:val="nil"/>
              <w:bottom w:val="single" w:sz="8" w:space="0" w:color="auto"/>
              <w:right w:val="single" w:sz="8" w:space="0" w:color="auto"/>
            </w:tcBorders>
            <w:shd w:val="clear" w:color="auto" w:fill="auto"/>
          </w:tcPr>
          <w:p w14:paraId="62ECA73C" w14:textId="3CC62566" w:rsidR="00A53479" w:rsidRPr="00A53479" w:rsidRDefault="00A53479" w:rsidP="00A53479">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 </w:t>
            </w:r>
            <w:r w:rsidR="001E7130" w:rsidRPr="00A53479">
              <w:rPr>
                <w:rFonts w:ascii="Garamond" w:eastAsia="Times New Roman" w:hAnsi="Garamond" w:cs="Arial"/>
                <w:b/>
                <w:bCs/>
                <w:sz w:val="24"/>
                <w:szCs w:val="24"/>
                <w:lang w:eastAsia="sv-SE"/>
              </w:rPr>
              <w:t>47</w:t>
            </w:r>
          </w:p>
        </w:tc>
        <w:tc>
          <w:tcPr>
            <w:tcW w:w="960" w:type="dxa"/>
            <w:tcBorders>
              <w:top w:val="nil"/>
              <w:left w:val="nil"/>
              <w:bottom w:val="single" w:sz="8" w:space="0" w:color="auto"/>
              <w:right w:val="single" w:sz="8" w:space="0" w:color="auto"/>
            </w:tcBorders>
            <w:shd w:val="clear" w:color="auto" w:fill="auto"/>
          </w:tcPr>
          <w:p w14:paraId="2BD8A302" w14:textId="7717C0BA" w:rsidR="00A53479" w:rsidRPr="00A53479" w:rsidRDefault="001E7130" w:rsidP="00A53479">
            <w:pPr>
              <w:spacing w:after="0" w:line="240" w:lineRule="auto"/>
              <w:jc w:val="center"/>
              <w:rPr>
                <w:rFonts w:ascii="Garamond" w:eastAsia="Times New Roman" w:hAnsi="Garamond" w:cs="Arial"/>
                <w:b/>
                <w:bCs/>
                <w:sz w:val="24"/>
                <w:szCs w:val="24"/>
                <w:lang w:eastAsia="sv-SE"/>
              </w:rPr>
            </w:pPr>
            <w:r w:rsidRPr="00BA6D36">
              <w:rPr>
                <w:rFonts w:ascii="Garamond" w:hAnsi="Garamond"/>
                <w:b/>
                <w:bCs/>
                <w:color w:val="000000" w:themeColor="text1"/>
                <w:sz w:val="24"/>
                <w:szCs w:val="24"/>
                <w:lang w:eastAsia="sv-SE"/>
              </w:rPr>
              <w:t>53</w:t>
            </w:r>
          </w:p>
        </w:tc>
        <w:tc>
          <w:tcPr>
            <w:tcW w:w="880" w:type="dxa"/>
            <w:tcBorders>
              <w:top w:val="nil"/>
              <w:left w:val="nil"/>
              <w:bottom w:val="single" w:sz="8" w:space="0" w:color="auto"/>
              <w:right w:val="single" w:sz="8" w:space="0" w:color="auto"/>
            </w:tcBorders>
            <w:shd w:val="clear" w:color="auto" w:fill="auto"/>
          </w:tcPr>
          <w:p w14:paraId="30F24105" w14:textId="7C4E44CC" w:rsidR="00A53479" w:rsidRPr="00BA6D36" w:rsidRDefault="008F2C32" w:rsidP="00A53479">
            <w:pPr>
              <w:spacing w:after="0" w:line="240" w:lineRule="auto"/>
              <w:jc w:val="center"/>
              <w:rPr>
                <w:rFonts w:ascii="Garamond" w:eastAsia="Times New Roman" w:hAnsi="Garamond" w:cs="Arial"/>
                <w:b/>
                <w:bCs/>
                <w:color w:val="000000" w:themeColor="text1"/>
                <w:sz w:val="24"/>
                <w:szCs w:val="24"/>
                <w:lang w:eastAsia="sv-SE"/>
              </w:rPr>
            </w:pPr>
            <w:r>
              <w:rPr>
                <w:rFonts w:ascii="Garamond" w:eastAsia="Times New Roman" w:hAnsi="Garamond" w:cs="Arial"/>
                <w:b/>
                <w:bCs/>
                <w:color w:val="000000" w:themeColor="text1"/>
                <w:sz w:val="24"/>
                <w:szCs w:val="24"/>
                <w:lang w:eastAsia="sv-SE"/>
              </w:rPr>
              <w:t>53</w:t>
            </w:r>
          </w:p>
        </w:tc>
      </w:tr>
      <w:tr w:rsidR="0068347F" w:rsidRPr="00AD5204" w14:paraId="0990F3A6" w14:textId="77777777" w:rsidTr="0056193F">
        <w:trPr>
          <w:trHeight w:val="636"/>
        </w:trPr>
        <w:tc>
          <w:tcPr>
            <w:tcW w:w="3938" w:type="dxa"/>
            <w:tcBorders>
              <w:top w:val="nil"/>
              <w:left w:val="single" w:sz="8" w:space="0" w:color="auto"/>
              <w:bottom w:val="single" w:sz="8" w:space="0" w:color="auto"/>
              <w:right w:val="single" w:sz="8" w:space="0" w:color="auto"/>
            </w:tcBorders>
            <w:shd w:val="clear" w:color="auto" w:fill="auto"/>
            <w:hideMark/>
          </w:tcPr>
          <w:p w14:paraId="38977861" w14:textId="67D806F0" w:rsidR="0068347F" w:rsidRPr="00A53479" w:rsidRDefault="001E7130" w:rsidP="001E7130">
            <w:pPr>
              <w:spacing w:after="0" w:line="240" w:lineRule="auto"/>
              <w:rPr>
                <w:rFonts w:ascii="Garamond" w:eastAsia="Times New Roman" w:hAnsi="Garamond" w:cs="Arial"/>
                <w:sz w:val="24"/>
                <w:szCs w:val="24"/>
                <w:lang w:eastAsia="sv-SE"/>
              </w:rPr>
            </w:pPr>
            <w:r>
              <w:rPr>
                <w:rFonts w:ascii="Garamond" w:eastAsia="Times New Roman" w:hAnsi="Garamond" w:cs="Arial"/>
                <w:sz w:val="24"/>
                <w:szCs w:val="24"/>
                <w:lang w:eastAsia="sv-SE"/>
              </w:rPr>
              <w:t>Antal bilhyror, FRAC</w:t>
            </w:r>
            <w:r w:rsidR="0068347F" w:rsidRPr="00A53479">
              <w:rPr>
                <w:rFonts w:ascii="Garamond" w:eastAsia="Times New Roman" w:hAnsi="Garamond" w:cs="Arial"/>
                <w:sz w:val="24"/>
                <w:szCs w:val="24"/>
                <w:lang w:eastAsia="sv-SE"/>
              </w:rPr>
              <w:t>, återförsäljare och agenter</w:t>
            </w:r>
          </w:p>
        </w:tc>
        <w:tc>
          <w:tcPr>
            <w:tcW w:w="960" w:type="dxa"/>
            <w:tcBorders>
              <w:top w:val="nil"/>
              <w:left w:val="nil"/>
              <w:bottom w:val="single" w:sz="8" w:space="0" w:color="auto"/>
              <w:right w:val="single" w:sz="8" w:space="0" w:color="auto"/>
            </w:tcBorders>
            <w:shd w:val="clear" w:color="auto" w:fill="auto"/>
          </w:tcPr>
          <w:p w14:paraId="25F1FA2E" w14:textId="1086C95F" w:rsidR="0068347F" w:rsidRPr="00A53479" w:rsidRDefault="001E7130" w:rsidP="0068347F">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444</w:t>
            </w:r>
            <w:r>
              <w:rPr>
                <w:rFonts w:ascii="Garamond" w:eastAsia="Times New Roman" w:hAnsi="Garamond" w:cs="Arial"/>
                <w:b/>
                <w:bCs/>
                <w:sz w:val="24"/>
                <w:szCs w:val="24"/>
                <w:lang w:eastAsia="sv-SE"/>
              </w:rPr>
              <w:t> </w:t>
            </w:r>
            <w:r w:rsidRPr="00A53479">
              <w:rPr>
                <w:rFonts w:ascii="Garamond" w:eastAsia="Times New Roman" w:hAnsi="Garamond" w:cs="Arial"/>
                <w:b/>
                <w:bCs/>
                <w:sz w:val="24"/>
                <w:szCs w:val="24"/>
                <w:lang w:eastAsia="sv-SE"/>
              </w:rPr>
              <w:t>521</w:t>
            </w:r>
          </w:p>
        </w:tc>
        <w:tc>
          <w:tcPr>
            <w:tcW w:w="960" w:type="dxa"/>
            <w:tcBorders>
              <w:top w:val="nil"/>
              <w:left w:val="nil"/>
              <w:bottom w:val="single" w:sz="8" w:space="0" w:color="auto"/>
              <w:right w:val="single" w:sz="8" w:space="0" w:color="auto"/>
            </w:tcBorders>
            <w:shd w:val="clear" w:color="auto" w:fill="auto"/>
          </w:tcPr>
          <w:p w14:paraId="4F17817D" w14:textId="446FA052" w:rsidR="0068347F" w:rsidRPr="00A53479" w:rsidRDefault="001E7130" w:rsidP="0068347F">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461</w:t>
            </w:r>
            <w:r>
              <w:rPr>
                <w:rFonts w:ascii="Garamond" w:eastAsia="Times New Roman" w:hAnsi="Garamond" w:cs="Arial"/>
                <w:b/>
                <w:bCs/>
                <w:sz w:val="24"/>
                <w:szCs w:val="24"/>
                <w:lang w:eastAsia="sv-SE"/>
              </w:rPr>
              <w:t> </w:t>
            </w:r>
            <w:r w:rsidRPr="00A53479">
              <w:rPr>
                <w:rFonts w:ascii="Garamond" w:eastAsia="Times New Roman" w:hAnsi="Garamond" w:cs="Arial"/>
                <w:b/>
                <w:bCs/>
                <w:sz w:val="24"/>
                <w:szCs w:val="24"/>
                <w:lang w:eastAsia="sv-SE"/>
              </w:rPr>
              <w:t>102</w:t>
            </w:r>
          </w:p>
        </w:tc>
        <w:tc>
          <w:tcPr>
            <w:tcW w:w="960" w:type="dxa"/>
            <w:tcBorders>
              <w:top w:val="nil"/>
              <w:left w:val="nil"/>
              <w:bottom w:val="single" w:sz="8" w:space="0" w:color="auto"/>
              <w:right w:val="single" w:sz="8" w:space="0" w:color="auto"/>
            </w:tcBorders>
            <w:shd w:val="clear" w:color="auto" w:fill="auto"/>
          </w:tcPr>
          <w:p w14:paraId="53CF7CE3" w14:textId="32771D21" w:rsidR="0068347F" w:rsidRPr="00A53479" w:rsidRDefault="001E7130" w:rsidP="0068347F">
            <w:pPr>
              <w:spacing w:after="0" w:line="240" w:lineRule="auto"/>
              <w:jc w:val="center"/>
              <w:rPr>
                <w:rFonts w:ascii="Garamond" w:eastAsia="Times New Roman" w:hAnsi="Garamond" w:cs="Arial"/>
                <w:b/>
                <w:bCs/>
                <w:sz w:val="24"/>
                <w:szCs w:val="24"/>
                <w:lang w:eastAsia="sv-SE"/>
              </w:rPr>
            </w:pPr>
            <w:r w:rsidRPr="00A53479">
              <w:rPr>
                <w:rFonts w:ascii="Garamond" w:eastAsia="Times New Roman" w:hAnsi="Garamond" w:cs="Arial"/>
                <w:b/>
                <w:bCs/>
                <w:sz w:val="24"/>
                <w:szCs w:val="24"/>
                <w:lang w:eastAsia="sv-SE"/>
              </w:rPr>
              <w:t>511676</w:t>
            </w:r>
          </w:p>
        </w:tc>
        <w:tc>
          <w:tcPr>
            <w:tcW w:w="960" w:type="dxa"/>
            <w:tcBorders>
              <w:top w:val="nil"/>
              <w:left w:val="nil"/>
              <w:bottom w:val="single" w:sz="8" w:space="0" w:color="auto"/>
              <w:right w:val="single" w:sz="8" w:space="0" w:color="auto"/>
            </w:tcBorders>
            <w:shd w:val="clear" w:color="auto" w:fill="auto"/>
          </w:tcPr>
          <w:p w14:paraId="59F7008E" w14:textId="3A61F699" w:rsidR="0068347F" w:rsidRPr="00A53479" w:rsidRDefault="001E7130" w:rsidP="0068347F">
            <w:pPr>
              <w:spacing w:after="0" w:line="240" w:lineRule="auto"/>
              <w:jc w:val="center"/>
              <w:rPr>
                <w:rFonts w:ascii="Garamond" w:eastAsia="Times New Roman" w:hAnsi="Garamond" w:cs="Arial"/>
                <w:b/>
                <w:bCs/>
                <w:sz w:val="24"/>
                <w:szCs w:val="24"/>
                <w:lang w:eastAsia="sv-SE"/>
              </w:rPr>
            </w:pPr>
            <w:r w:rsidRPr="00BA6D36">
              <w:rPr>
                <w:rFonts w:ascii="Garamond" w:hAnsi="Garamond"/>
                <w:b/>
                <w:bCs/>
                <w:color w:val="000000" w:themeColor="text1"/>
                <w:sz w:val="24"/>
                <w:szCs w:val="24"/>
                <w:lang w:eastAsia="sv-SE"/>
              </w:rPr>
              <w:t>532787</w:t>
            </w:r>
          </w:p>
        </w:tc>
        <w:tc>
          <w:tcPr>
            <w:tcW w:w="880" w:type="dxa"/>
            <w:tcBorders>
              <w:top w:val="nil"/>
              <w:left w:val="nil"/>
              <w:bottom w:val="single" w:sz="8" w:space="0" w:color="auto"/>
              <w:right w:val="single" w:sz="8" w:space="0" w:color="auto"/>
            </w:tcBorders>
            <w:shd w:val="clear" w:color="auto" w:fill="auto"/>
          </w:tcPr>
          <w:p w14:paraId="73DD3D98" w14:textId="0ABA506F" w:rsidR="0068347F" w:rsidRPr="00BA6D36" w:rsidRDefault="008F2C32" w:rsidP="0068347F">
            <w:pPr>
              <w:spacing w:after="0" w:line="240" w:lineRule="auto"/>
              <w:jc w:val="center"/>
              <w:rPr>
                <w:rFonts w:ascii="Garamond" w:eastAsia="Times New Roman" w:hAnsi="Garamond" w:cs="Arial"/>
                <w:b/>
                <w:bCs/>
                <w:color w:val="000000" w:themeColor="text1"/>
                <w:sz w:val="24"/>
                <w:szCs w:val="24"/>
                <w:lang w:eastAsia="sv-SE"/>
              </w:rPr>
            </w:pPr>
            <w:r>
              <w:rPr>
                <w:rFonts w:ascii="Garamond" w:hAnsi="Garamond"/>
                <w:b/>
                <w:bCs/>
                <w:sz w:val="24"/>
                <w:szCs w:val="24"/>
                <w:lang w:eastAsia="sv-SE"/>
              </w:rPr>
              <w:t>516486</w:t>
            </w:r>
          </w:p>
        </w:tc>
      </w:tr>
      <w:tr w:rsidR="005A0BDD" w:rsidRPr="00EA6971" w14:paraId="5BB26A69" w14:textId="77777777" w:rsidTr="0056193F">
        <w:trPr>
          <w:trHeight w:val="264"/>
        </w:trPr>
        <w:tc>
          <w:tcPr>
            <w:tcW w:w="3938" w:type="dxa"/>
            <w:tcBorders>
              <w:top w:val="nil"/>
              <w:left w:val="nil"/>
              <w:bottom w:val="nil"/>
              <w:right w:val="nil"/>
            </w:tcBorders>
            <w:shd w:val="clear" w:color="auto" w:fill="auto"/>
            <w:noWrap/>
            <w:vAlign w:val="bottom"/>
            <w:hideMark/>
          </w:tcPr>
          <w:p w14:paraId="566F5B5A" w14:textId="30F835A9" w:rsidR="005A0BDD" w:rsidRPr="00EE4B96" w:rsidRDefault="00DE4938" w:rsidP="005A0BDD">
            <w:pPr>
              <w:spacing w:after="0" w:line="240" w:lineRule="auto"/>
              <w:rPr>
                <w:rFonts w:ascii="Arial" w:eastAsia="Times New Roman" w:hAnsi="Arial" w:cs="Arial"/>
                <w:sz w:val="16"/>
                <w:szCs w:val="16"/>
                <w:lang w:eastAsia="sv-SE"/>
              </w:rPr>
            </w:pPr>
            <w:r>
              <w:rPr>
                <w:rFonts w:ascii="Arial" w:eastAsia="Times New Roman" w:hAnsi="Arial" w:cs="Arial"/>
                <w:sz w:val="16"/>
                <w:szCs w:val="16"/>
                <w:lang w:eastAsia="sv-SE"/>
              </w:rPr>
              <w:t xml:space="preserve"> </w:t>
            </w:r>
          </w:p>
        </w:tc>
        <w:tc>
          <w:tcPr>
            <w:tcW w:w="960" w:type="dxa"/>
            <w:tcBorders>
              <w:top w:val="nil"/>
              <w:left w:val="nil"/>
              <w:bottom w:val="nil"/>
              <w:right w:val="nil"/>
            </w:tcBorders>
            <w:shd w:val="clear" w:color="auto" w:fill="auto"/>
            <w:noWrap/>
            <w:vAlign w:val="bottom"/>
            <w:hideMark/>
          </w:tcPr>
          <w:p w14:paraId="091076B2" w14:textId="77777777" w:rsidR="005A0BDD" w:rsidRPr="00EE4B96" w:rsidRDefault="005A0BDD" w:rsidP="005A0BDD">
            <w:pPr>
              <w:spacing w:after="0" w:line="240" w:lineRule="auto"/>
              <w:rPr>
                <w:rFonts w:ascii="Arial" w:eastAsia="Times New Roman" w:hAnsi="Arial" w:cs="Arial"/>
                <w:sz w:val="16"/>
                <w:szCs w:val="16"/>
                <w:lang w:eastAsia="sv-SE"/>
              </w:rPr>
            </w:pPr>
          </w:p>
        </w:tc>
        <w:tc>
          <w:tcPr>
            <w:tcW w:w="960" w:type="dxa"/>
            <w:tcBorders>
              <w:top w:val="nil"/>
              <w:left w:val="nil"/>
              <w:bottom w:val="nil"/>
              <w:right w:val="nil"/>
            </w:tcBorders>
            <w:shd w:val="clear" w:color="auto" w:fill="auto"/>
            <w:noWrap/>
            <w:vAlign w:val="bottom"/>
            <w:hideMark/>
          </w:tcPr>
          <w:p w14:paraId="57A64CD3" w14:textId="77777777" w:rsidR="005A0BDD" w:rsidRPr="00EE4B96" w:rsidRDefault="005A0BDD" w:rsidP="005A0BDD">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1DE2367" w14:textId="77777777" w:rsidR="005A0BDD" w:rsidRPr="00EE4B96" w:rsidRDefault="005A0BDD" w:rsidP="005A0BDD">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200FDB5" w14:textId="77777777" w:rsidR="005A0BDD" w:rsidRPr="00EE4B96" w:rsidRDefault="005A0BDD" w:rsidP="005A0BDD">
            <w:pPr>
              <w:spacing w:after="0" w:line="240" w:lineRule="auto"/>
              <w:rPr>
                <w:rFonts w:ascii="Times New Roman" w:eastAsia="Times New Roman" w:hAnsi="Times New Roman" w:cs="Times New Roman"/>
                <w:sz w:val="20"/>
                <w:szCs w:val="20"/>
                <w:lang w:eastAsia="sv-SE"/>
              </w:rPr>
            </w:pPr>
          </w:p>
        </w:tc>
        <w:tc>
          <w:tcPr>
            <w:tcW w:w="880" w:type="dxa"/>
            <w:tcBorders>
              <w:top w:val="nil"/>
              <w:left w:val="nil"/>
              <w:bottom w:val="nil"/>
              <w:right w:val="nil"/>
            </w:tcBorders>
            <w:shd w:val="clear" w:color="auto" w:fill="auto"/>
            <w:noWrap/>
            <w:vAlign w:val="bottom"/>
            <w:hideMark/>
          </w:tcPr>
          <w:p w14:paraId="5B11FA0B" w14:textId="77777777" w:rsidR="005A0BDD" w:rsidRPr="00EE4B96" w:rsidRDefault="005A0BDD" w:rsidP="005A0BDD">
            <w:pPr>
              <w:spacing w:after="0" w:line="240" w:lineRule="auto"/>
              <w:rPr>
                <w:rFonts w:ascii="Times New Roman" w:eastAsia="Times New Roman" w:hAnsi="Times New Roman" w:cs="Times New Roman"/>
                <w:sz w:val="20"/>
                <w:szCs w:val="20"/>
                <w:lang w:eastAsia="sv-SE"/>
              </w:rPr>
            </w:pPr>
          </w:p>
        </w:tc>
      </w:tr>
    </w:tbl>
    <w:p w14:paraId="25C0C74A" w14:textId="77777777" w:rsidR="0053403F" w:rsidRPr="00EA6971" w:rsidRDefault="0053403F" w:rsidP="0053403F">
      <w:pPr>
        <w:autoSpaceDE w:val="0"/>
        <w:autoSpaceDN w:val="0"/>
        <w:adjustRightInd w:val="0"/>
        <w:spacing w:after="0" w:line="240" w:lineRule="auto"/>
        <w:ind w:left="360"/>
      </w:pPr>
    </w:p>
    <w:p w14:paraId="6FAA2970" w14:textId="77777777" w:rsidR="00EE6160" w:rsidRPr="00EE4B96" w:rsidRDefault="00EE6160" w:rsidP="005658AE">
      <w:pPr>
        <w:pStyle w:val="Rubrik2"/>
        <w:numPr>
          <w:ilvl w:val="1"/>
          <w:numId w:val="1"/>
        </w:numPr>
        <w:rPr>
          <w:color w:val="auto"/>
        </w:rPr>
      </w:pPr>
      <w:bookmarkStart w:id="6" w:name="_Toc34657529"/>
      <w:r w:rsidRPr="00EE4B96">
        <w:rPr>
          <w:color w:val="auto"/>
        </w:rPr>
        <w:t>Fokus på väsentliga hållbarhetsområden</w:t>
      </w:r>
      <w:bookmarkEnd w:id="6"/>
    </w:p>
    <w:p w14:paraId="6E04B06F" w14:textId="77777777" w:rsidR="00EE6160" w:rsidRPr="00EE4B96" w:rsidRDefault="00EE6160" w:rsidP="005658AE">
      <w:pPr>
        <w:pStyle w:val="Rubrik3"/>
        <w:numPr>
          <w:ilvl w:val="2"/>
          <w:numId w:val="1"/>
        </w:numPr>
        <w:ind w:left="938" w:hanging="560"/>
        <w:rPr>
          <w:color w:val="auto"/>
        </w:rPr>
      </w:pPr>
      <w:bookmarkStart w:id="7" w:name="_Toc34657530"/>
      <w:r w:rsidRPr="00EE4B96">
        <w:rPr>
          <w:color w:val="auto"/>
        </w:rPr>
        <w:t>Möjligheter</w:t>
      </w:r>
      <w:bookmarkEnd w:id="7"/>
    </w:p>
    <w:p w14:paraId="44F1912E" w14:textId="3B3FF393" w:rsidR="00F5594D" w:rsidRPr="003A049A" w:rsidRDefault="00F5594D" w:rsidP="00F5594D">
      <w:pPr>
        <w:pStyle w:val="Liststycke"/>
        <w:autoSpaceDE w:val="0"/>
        <w:autoSpaceDN w:val="0"/>
        <w:ind w:left="360"/>
      </w:pPr>
      <w:r w:rsidRPr="003A049A">
        <w:t>Den förändrade synen på resande</w:t>
      </w:r>
      <w:r w:rsidR="00E93FD2" w:rsidRPr="003A049A">
        <w:t>,</w:t>
      </w:r>
      <w:r w:rsidRPr="003A049A">
        <w:t xml:space="preserve"> och </w:t>
      </w:r>
      <w:r w:rsidR="00E93FD2" w:rsidRPr="003A049A">
        <w:t xml:space="preserve">även </w:t>
      </w:r>
      <w:r w:rsidRPr="003A049A">
        <w:t>på bilars miljöpåverkan</w:t>
      </w:r>
      <w:r w:rsidR="00E93FD2" w:rsidRPr="003A049A">
        <w:t>,</w:t>
      </w:r>
      <w:r w:rsidRPr="003A049A">
        <w:t xml:space="preserve"> innebär både stora affärsmöjligheter och utmaningar för Hertz, eftersom vi samtidigt ska vara lönsamma och fortsätta driva affären framåt. Det blir ännu viktigare för oss att se över affärsmodellerna och hitta nya sätt att dela fordon. De skärpta nationella miljömålen, och att vi ska vara fossilfria i Sverige år 2030, ställer stora krav på den typ av verksamhet som vi driver</w:t>
      </w:r>
      <w:r w:rsidR="00E93FD2" w:rsidRPr="003A049A">
        <w:t>.</w:t>
      </w:r>
    </w:p>
    <w:p w14:paraId="1F701DE7" w14:textId="77777777" w:rsidR="003A049A" w:rsidRDefault="00F5594D" w:rsidP="00F5594D">
      <w:pPr>
        <w:pStyle w:val="Liststycke"/>
        <w:autoSpaceDE w:val="0"/>
        <w:autoSpaceDN w:val="0"/>
        <w:ind w:left="360"/>
      </w:pPr>
      <w:r w:rsidRPr="003A049A">
        <w:t>Vår strategi</w:t>
      </w:r>
      <w:r w:rsidR="00E93FD2" w:rsidRPr="003A049A">
        <w:t>,</w:t>
      </w:r>
      <w:r w:rsidRPr="003A049A">
        <w:t xml:space="preserve"> där fokus ligger på en digital leverans med tillgänglighet alla dagar dygnet runt, fortsätter. </w:t>
      </w:r>
      <w:r w:rsidR="003A049A" w:rsidRPr="003A049A">
        <w:t>Under året har vi gått med i ett antal projekt för utveckling av nya tjänster.</w:t>
      </w:r>
    </w:p>
    <w:p w14:paraId="089392FD" w14:textId="6293D02E" w:rsidR="0046238A" w:rsidRPr="003A049A" w:rsidRDefault="00A078BA" w:rsidP="0046238A">
      <w:pPr>
        <w:ind w:left="360"/>
        <w:rPr>
          <w:color w:val="000000" w:themeColor="text1"/>
        </w:rPr>
      </w:pPr>
      <w:r>
        <w:t>Vi arbetar vidare med</w:t>
      </w:r>
      <w:r w:rsidR="0046238A">
        <w:t xml:space="preserve"> projekt</w:t>
      </w:r>
      <w:r>
        <w:t>et</w:t>
      </w:r>
      <w:r w:rsidR="0046238A">
        <w:t xml:space="preserve"> som heter Hertz 2.0 för att </w:t>
      </w:r>
      <w:r w:rsidR="0046238A" w:rsidRPr="003A049A">
        <w:rPr>
          <w:color w:val="000000" w:themeColor="text1"/>
        </w:rPr>
        <w:t xml:space="preserve">bygga ett modernt </w:t>
      </w:r>
      <w:r w:rsidR="0046238A" w:rsidRPr="003A049A">
        <w:rPr>
          <w:i/>
          <w:iCs/>
          <w:color w:val="000000" w:themeColor="text1"/>
        </w:rPr>
        <w:t>enhetligt</w:t>
      </w:r>
      <w:r w:rsidR="0046238A" w:rsidRPr="003A049A">
        <w:rPr>
          <w:color w:val="000000" w:themeColor="text1"/>
        </w:rPr>
        <w:t xml:space="preserve">, </w:t>
      </w:r>
      <w:r w:rsidR="0046238A" w:rsidRPr="003A049A">
        <w:rPr>
          <w:i/>
          <w:iCs/>
          <w:color w:val="000000" w:themeColor="text1"/>
        </w:rPr>
        <w:t>lönsamt</w:t>
      </w:r>
      <w:r w:rsidR="0046238A" w:rsidRPr="003A049A">
        <w:rPr>
          <w:color w:val="000000" w:themeColor="text1"/>
        </w:rPr>
        <w:t xml:space="preserve"> och </w:t>
      </w:r>
      <w:r w:rsidR="0046238A" w:rsidRPr="003A049A">
        <w:rPr>
          <w:i/>
          <w:iCs/>
          <w:color w:val="000000" w:themeColor="text1"/>
        </w:rPr>
        <w:t>skalbart</w:t>
      </w:r>
      <w:r w:rsidR="0046238A" w:rsidRPr="003A049A">
        <w:rPr>
          <w:color w:val="000000" w:themeColor="text1"/>
        </w:rPr>
        <w:t xml:space="preserve"> koncept för att på bästa sätt kunna bedriva och etablera en hyrbilsaffär. </w:t>
      </w:r>
      <w:r>
        <w:rPr>
          <w:color w:val="000000" w:themeColor="text1"/>
        </w:rPr>
        <w:t>I år är fokus på Lund och Malmö.</w:t>
      </w:r>
    </w:p>
    <w:p w14:paraId="6A3FFF52" w14:textId="77777777" w:rsidR="00863C4C" w:rsidRPr="0066595E" w:rsidRDefault="00863C4C" w:rsidP="005658AE">
      <w:pPr>
        <w:pStyle w:val="Rubrik3"/>
        <w:numPr>
          <w:ilvl w:val="2"/>
          <w:numId w:val="1"/>
        </w:numPr>
        <w:ind w:left="910" w:hanging="532"/>
        <w:rPr>
          <w:color w:val="auto"/>
        </w:rPr>
      </w:pPr>
      <w:bookmarkStart w:id="8" w:name="_Toc34657531"/>
      <w:r w:rsidRPr="0066595E">
        <w:rPr>
          <w:color w:val="auto"/>
        </w:rPr>
        <w:t>Risker</w:t>
      </w:r>
      <w:bookmarkEnd w:id="8"/>
    </w:p>
    <w:p w14:paraId="3432E2CD" w14:textId="77777777" w:rsidR="00485594" w:rsidRPr="0066595E" w:rsidRDefault="00485594" w:rsidP="00485594">
      <w:pPr>
        <w:autoSpaceDE w:val="0"/>
        <w:autoSpaceDN w:val="0"/>
        <w:adjustRightInd w:val="0"/>
        <w:spacing w:after="0" w:line="240" w:lineRule="auto"/>
        <w:ind w:left="392"/>
      </w:pPr>
      <w:r w:rsidRPr="0066595E">
        <w:t>Bolagets risker är starkt förknippade med fordonsindustrins utveckling avseende konkurrens,</w:t>
      </w:r>
    </w:p>
    <w:p w14:paraId="1F33AF89" w14:textId="6FC417D4" w:rsidR="00485594" w:rsidRPr="0066595E" w:rsidRDefault="00485594" w:rsidP="00485594">
      <w:pPr>
        <w:autoSpaceDE w:val="0"/>
        <w:autoSpaceDN w:val="0"/>
        <w:adjustRightInd w:val="0"/>
        <w:spacing w:after="0" w:line="240" w:lineRule="auto"/>
        <w:ind w:left="392"/>
      </w:pPr>
      <w:r w:rsidRPr="0066595E">
        <w:t xml:space="preserve">efterfrågan, miljöhänsyn samt samhällsutveckling och demografiska förutsättningar. </w:t>
      </w:r>
      <w:r w:rsidR="00412462" w:rsidRPr="0066595E">
        <w:t xml:space="preserve">Lagstiftning kring fordon och </w:t>
      </w:r>
      <w:r w:rsidR="00066E8F" w:rsidRPr="0066595E">
        <w:t xml:space="preserve">utveckling </w:t>
      </w:r>
      <w:r w:rsidR="00412462" w:rsidRPr="0066595E">
        <w:t>av fordon</w:t>
      </w:r>
      <w:r w:rsidRPr="0066595E">
        <w:t xml:space="preserve"> är viktiga faktorer som driver hela fordonsindustrin.</w:t>
      </w:r>
    </w:p>
    <w:p w14:paraId="1CE1E52D" w14:textId="77777777" w:rsidR="007E4396" w:rsidRPr="0066595E" w:rsidRDefault="007E4396" w:rsidP="00485594">
      <w:pPr>
        <w:autoSpaceDE w:val="0"/>
        <w:autoSpaceDN w:val="0"/>
        <w:adjustRightInd w:val="0"/>
        <w:spacing w:after="0" w:line="240" w:lineRule="auto"/>
        <w:ind w:left="392"/>
      </w:pPr>
    </w:p>
    <w:p w14:paraId="2121B0FD" w14:textId="77777777" w:rsidR="00412462" w:rsidRPr="0066595E" w:rsidRDefault="00863C4C" w:rsidP="009764D9">
      <w:pPr>
        <w:autoSpaceDE w:val="0"/>
        <w:autoSpaceDN w:val="0"/>
        <w:adjustRightInd w:val="0"/>
        <w:ind w:left="360"/>
      </w:pPr>
      <w:r w:rsidRPr="0066595E">
        <w:t>Möjligheterna för He</w:t>
      </w:r>
      <w:r w:rsidR="009764D9" w:rsidRPr="0066595E">
        <w:t xml:space="preserve">rtz att bedriva biluthyrning på </w:t>
      </w:r>
      <w:r w:rsidRPr="0066595E">
        <w:t xml:space="preserve">ett effektivt sätt begränsas när viktiga förutsättningar som tankningsmöjligheter och tvättanläggningar </w:t>
      </w:r>
      <w:r w:rsidR="00DE19B8" w:rsidRPr="0066595E">
        <w:t>minskar i antal</w:t>
      </w:r>
      <w:r w:rsidR="007E4396" w:rsidRPr="0066595E">
        <w:t xml:space="preserve">. </w:t>
      </w:r>
      <w:r w:rsidRPr="0066595E">
        <w:t xml:space="preserve"> </w:t>
      </w:r>
      <w:r w:rsidR="007E4396" w:rsidRPr="0066595E">
        <w:t xml:space="preserve">Dessutom sjunker </w:t>
      </w:r>
      <w:r w:rsidRPr="0066595E">
        <w:t>antalet parkeringsplatser tillgängliga för hyrbils-/bilpoolsföretagen</w:t>
      </w:r>
      <w:r w:rsidR="007E4396" w:rsidRPr="0066595E">
        <w:t>,</w:t>
      </w:r>
      <w:r w:rsidR="00EB1C07" w:rsidRPr="0066595E">
        <w:t xml:space="preserve"> </w:t>
      </w:r>
      <w:r w:rsidR="007E4396" w:rsidRPr="0066595E">
        <w:t>framför allt i storstadsområdena,</w:t>
      </w:r>
      <w:r w:rsidRPr="0066595E">
        <w:t xml:space="preserve"> </w:t>
      </w:r>
      <w:r w:rsidR="009F0651" w:rsidRPr="0066595E">
        <w:t>vilket är något som fortsätter att vara en stor risk för oss</w:t>
      </w:r>
      <w:r w:rsidRPr="0066595E">
        <w:t>.</w:t>
      </w:r>
      <w:r w:rsidR="00412462" w:rsidRPr="0066595E">
        <w:t xml:space="preserve"> För att kunna </w:t>
      </w:r>
      <w:r w:rsidR="00412462" w:rsidRPr="0066595E">
        <w:lastRenderedPageBreak/>
        <w:t xml:space="preserve">möta dessa förändringar så tar vi fram och testar </w:t>
      </w:r>
      <w:r w:rsidR="00E93FD2" w:rsidRPr="0066595E">
        <w:t xml:space="preserve">alternativa biltvättar och  </w:t>
      </w:r>
      <w:r w:rsidR="00412462" w:rsidRPr="0066595E">
        <w:t>ser över tekniska lösningar för att leverera bilar där tvätt</w:t>
      </w:r>
      <w:r w:rsidR="00E93FD2" w:rsidRPr="0066595E">
        <w:t>-</w:t>
      </w:r>
      <w:r w:rsidR="00412462" w:rsidRPr="0066595E">
        <w:t>och tankningsgrad kan skilja.</w:t>
      </w:r>
    </w:p>
    <w:p w14:paraId="248F91E2" w14:textId="77777777" w:rsidR="00863C4C" w:rsidRPr="0066595E" w:rsidRDefault="00863C4C" w:rsidP="009764D9">
      <w:pPr>
        <w:autoSpaceDE w:val="0"/>
        <w:autoSpaceDN w:val="0"/>
        <w:adjustRightInd w:val="0"/>
        <w:ind w:left="360"/>
      </w:pPr>
      <w:r w:rsidRPr="0066595E">
        <w:t xml:space="preserve"> </w:t>
      </w:r>
      <w:r w:rsidR="009764D9" w:rsidRPr="0066595E">
        <w:t>Vår möjlighet</w:t>
      </w:r>
      <w:r w:rsidRPr="0066595E">
        <w:t xml:space="preserve"> att minska utsläppen av fossil koldioxid från fordonsflottan är till stor del beroende av att fordonsproducenterna utvecklar fordon med lägre utsläpp</w:t>
      </w:r>
      <w:r w:rsidR="009764D9" w:rsidRPr="0066595E">
        <w:t>.</w:t>
      </w:r>
      <w:r w:rsidRPr="0066595E">
        <w:t xml:space="preserve"> Ägarens krav påverkar också möjligheten att fritt styra över vagnparken </w:t>
      </w:r>
      <w:r w:rsidR="007E4396" w:rsidRPr="0066595E">
        <w:t xml:space="preserve">eftersom </w:t>
      </w:r>
      <w:r w:rsidRPr="0066595E">
        <w:t xml:space="preserve">tillgången på specifika fordon inte alltid motsvarar </w:t>
      </w:r>
      <w:r w:rsidR="009F0651" w:rsidRPr="0066595E">
        <w:t>FRAC</w:t>
      </w:r>
      <w:r w:rsidR="007E4396" w:rsidRPr="0066595E">
        <w:t>:</w:t>
      </w:r>
      <w:r w:rsidR="009F0651" w:rsidRPr="0066595E">
        <w:t>s</w:t>
      </w:r>
      <w:r w:rsidRPr="0066595E">
        <w:t xml:space="preserve"> behov. </w:t>
      </w:r>
    </w:p>
    <w:p w14:paraId="32DC58E1" w14:textId="1BAD78C3" w:rsidR="00332CCC" w:rsidRDefault="00863C4C" w:rsidP="00FF74CD">
      <w:pPr>
        <w:autoSpaceDE w:val="0"/>
        <w:autoSpaceDN w:val="0"/>
        <w:adjustRightInd w:val="0"/>
        <w:ind w:left="360"/>
      </w:pPr>
      <w:r w:rsidRPr="0066595E">
        <w:t>En risk för Hertz är att regler</w:t>
      </w:r>
      <w:r w:rsidR="00AD46D7" w:rsidRPr="0066595E">
        <w:t>, s</w:t>
      </w:r>
      <w:r w:rsidRPr="0066595E">
        <w:t xml:space="preserve">katter och </w:t>
      </w:r>
      <w:r w:rsidR="002F32FD" w:rsidRPr="0066595E">
        <w:t>avgifter för</w:t>
      </w:r>
      <w:r w:rsidRPr="0066595E">
        <w:t xml:space="preserve"> bilar kan vara ett hinder i utvecklingen för hyrbilbranschen</w:t>
      </w:r>
      <w:r w:rsidR="007E4396" w:rsidRPr="0066595E">
        <w:t>. Det kan</w:t>
      </w:r>
      <w:r w:rsidRPr="0066595E">
        <w:t xml:space="preserve"> också </w:t>
      </w:r>
      <w:r w:rsidR="00EB1C07" w:rsidRPr="0066595E">
        <w:t xml:space="preserve">vara </w:t>
      </w:r>
      <w:r w:rsidRPr="0066595E">
        <w:t xml:space="preserve">en fördel beroende på hur avgifterna formuleras. En tydligare styrning från egenägd bil till ett mer effektivt individuellt resande skulle ge en positiv inverkan. </w:t>
      </w:r>
      <w:r w:rsidR="00332CCC" w:rsidRPr="0066595E">
        <w:t>Incitament för att dela bil</w:t>
      </w:r>
      <w:r w:rsidRPr="0066595E">
        <w:t xml:space="preserve"> </w:t>
      </w:r>
      <w:r w:rsidR="00332CCC" w:rsidRPr="0066595E">
        <w:t xml:space="preserve">skulle till </w:t>
      </w:r>
      <w:r w:rsidRPr="0066595E">
        <w:t>exempel medföra en möjlighet för Hertz, eftersom detta troligen skulle leda till att fler valde att hyra/dela/samåka istället för att äga bil. Ett samhälle där alla äger en egen bil är inte hållbart i längden.</w:t>
      </w:r>
      <w:r w:rsidRPr="00EA6971">
        <w:t xml:space="preserve"> </w:t>
      </w:r>
    </w:p>
    <w:p w14:paraId="4A4A780B" w14:textId="77777777" w:rsidR="00EE6160" w:rsidRPr="00EA6971" w:rsidRDefault="00EE6160" w:rsidP="005658AE">
      <w:pPr>
        <w:pStyle w:val="Rubrik3"/>
        <w:numPr>
          <w:ilvl w:val="2"/>
          <w:numId w:val="1"/>
        </w:numPr>
        <w:ind w:left="924" w:hanging="532"/>
        <w:rPr>
          <w:color w:val="auto"/>
        </w:rPr>
      </w:pPr>
      <w:bookmarkStart w:id="9" w:name="_Toc34657532"/>
      <w:r w:rsidRPr="00EA6971">
        <w:rPr>
          <w:color w:val="auto"/>
        </w:rPr>
        <w:t>Intressenter</w:t>
      </w:r>
      <w:bookmarkEnd w:id="9"/>
    </w:p>
    <w:p w14:paraId="25EC22B4" w14:textId="4D15C0E8" w:rsidR="00FF74CD" w:rsidRPr="0066595E" w:rsidRDefault="00FF74CD" w:rsidP="00B210B5">
      <w:pPr>
        <w:autoSpaceDE w:val="0"/>
        <w:autoSpaceDN w:val="0"/>
        <w:adjustRightInd w:val="0"/>
        <w:ind w:left="360"/>
      </w:pPr>
      <w:r w:rsidRPr="0066595E">
        <w:t>En löpande dialog med olika</w:t>
      </w:r>
      <w:r w:rsidR="001E03FE" w:rsidRPr="0066595E">
        <w:t xml:space="preserve"> intressenter är en del av FRAC</w:t>
      </w:r>
      <w:r w:rsidR="00412462" w:rsidRPr="0066595E">
        <w:t>-bolagens</w:t>
      </w:r>
      <w:r w:rsidRPr="0066595E">
        <w:t xml:space="preserve"> dagliga verksamhet. </w:t>
      </w:r>
      <w:r w:rsidR="00B210B5" w:rsidRPr="0066595E">
        <w:t>I</w:t>
      </w:r>
      <w:r w:rsidR="00D51900" w:rsidRPr="0066595E">
        <w:t xml:space="preserve"> </w:t>
      </w:r>
      <w:r w:rsidRPr="0066595E">
        <w:t>dialog</w:t>
      </w:r>
      <w:r w:rsidR="00B210B5" w:rsidRPr="0066595E">
        <w:t>en</w:t>
      </w:r>
      <w:r w:rsidRPr="0066595E">
        <w:t xml:space="preserve"> med våra</w:t>
      </w:r>
      <w:r w:rsidR="00D51900" w:rsidRPr="0066595E">
        <w:t xml:space="preserve"> intres</w:t>
      </w:r>
      <w:r w:rsidRPr="0066595E">
        <w:t>senter</w:t>
      </w:r>
      <w:r w:rsidR="00D51900" w:rsidRPr="0066595E">
        <w:t xml:space="preserve"> kan </w:t>
      </w:r>
      <w:r w:rsidR="00B210B5" w:rsidRPr="0066595E">
        <w:t>vi</w:t>
      </w:r>
      <w:r w:rsidR="00D51900" w:rsidRPr="0066595E">
        <w:t xml:space="preserve"> enklare upptäcka utmaningar, risker, möjligheter och svag</w:t>
      </w:r>
      <w:r w:rsidR="0091435E" w:rsidRPr="0066595E">
        <w:t>heter i förhållande till bolagen</w:t>
      </w:r>
      <w:r w:rsidR="00D51900" w:rsidRPr="0066595E">
        <w:t>s vision. Information från</w:t>
      </w:r>
      <w:r w:rsidR="0091435E" w:rsidRPr="0066595E">
        <w:t xml:space="preserve"> intres</w:t>
      </w:r>
      <w:r w:rsidR="00844B38">
        <w:t>senterna gör att Hertz</w:t>
      </w:r>
      <w:r w:rsidR="0091435E" w:rsidRPr="0066595E">
        <w:t xml:space="preserve"> och Bilreda</w:t>
      </w:r>
      <w:r w:rsidR="00D51900" w:rsidRPr="0066595E">
        <w:t xml:space="preserve"> bättre förstår vilka åtgärder som</w:t>
      </w:r>
      <w:r w:rsidR="008E7008" w:rsidRPr="0066595E">
        <w:t xml:space="preserve"> vi </w:t>
      </w:r>
      <w:r w:rsidR="00D51900" w:rsidRPr="0066595E">
        <w:t xml:space="preserve">behöver vidta och vilka prioriteringar som </w:t>
      </w:r>
      <w:r w:rsidR="008E7008" w:rsidRPr="0066595E">
        <w:t xml:space="preserve">vi </w:t>
      </w:r>
      <w:r w:rsidR="00D51900" w:rsidRPr="0066595E">
        <w:t xml:space="preserve">måste göra. </w:t>
      </w:r>
      <w:r w:rsidR="0091435E" w:rsidRPr="0066595E">
        <w:t xml:space="preserve">De områden som </w:t>
      </w:r>
      <w:r w:rsidR="008E7008" w:rsidRPr="0066595E">
        <w:t xml:space="preserve">vi </w:t>
      </w:r>
      <w:r w:rsidRPr="0066595E">
        <w:t>bedömt</w:t>
      </w:r>
      <w:r w:rsidR="0091435E" w:rsidRPr="0066595E">
        <w:t xml:space="preserve"> som relevanta för verksamheterna</w:t>
      </w:r>
      <w:r w:rsidRPr="0066595E">
        <w:t xml:space="preserve"> och vilka områden som majoriteten i respektive intressentgrupp anser vara my</w:t>
      </w:r>
      <w:r w:rsidR="0091435E" w:rsidRPr="0066595E">
        <w:t>cket viktiga för FRAC</w:t>
      </w:r>
      <w:r w:rsidRPr="0066595E">
        <w:t xml:space="preserve"> är miljö/klimat, produkt/datasäkerhet och öppen kommunikation/transparens. </w:t>
      </w:r>
      <w:r w:rsidR="00F53398" w:rsidRPr="0066595E">
        <w:t xml:space="preserve">Samtliga produkter (bilar) vi har i vår verksamhet leasas från olika varumärken. </w:t>
      </w:r>
      <w:r w:rsidR="008E7008" w:rsidRPr="0066595E">
        <w:t xml:space="preserve">Vi </w:t>
      </w:r>
      <w:r w:rsidR="00F53398" w:rsidRPr="0066595E">
        <w:t>teckna</w:t>
      </w:r>
      <w:r w:rsidR="008E7008" w:rsidRPr="0066595E">
        <w:t>r</w:t>
      </w:r>
      <w:r w:rsidR="00F53398" w:rsidRPr="0066595E">
        <w:t xml:space="preserve"> </w:t>
      </w:r>
      <w:r w:rsidR="008E7008" w:rsidRPr="0066595E">
        <w:t xml:space="preserve">avtal </w:t>
      </w:r>
      <w:r w:rsidR="00F53398" w:rsidRPr="0066595E">
        <w:t>med återförsäljare i Sverige. Vår främsta leverantör</w:t>
      </w:r>
      <w:r w:rsidR="008E7008" w:rsidRPr="0066595E">
        <w:t>,</w:t>
      </w:r>
      <w:r w:rsidR="0066595E">
        <w:t xml:space="preserve"> som representerar mer än 8</w:t>
      </w:r>
      <w:r w:rsidR="00F53398" w:rsidRPr="0066595E">
        <w:t>0 procent av vagnpark</w:t>
      </w:r>
      <w:r w:rsidR="008E7008" w:rsidRPr="0066595E">
        <w:t>en,</w:t>
      </w:r>
      <w:r w:rsidR="00F53398" w:rsidRPr="0066595E">
        <w:t xml:space="preserve"> är</w:t>
      </w:r>
      <w:r w:rsidR="005020E1" w:rsidRPr="0066595E">
        <w:t xml:space="preserve"> </w:t>
      </w:r>
      <w:r w:rsidR="00F53398" w:rsidRPr="0066595E">
        <w:t>Volvo</w:t>
      </w:r>
      <w:r w:rsidR="005020E1" w:rsidRPr="0066595E">
        <w:t xml:space="preserve"> Car Corporation</w:t>
      </w:r>
      <w:r w:rsidR="00F53398" w:rsidRPr="0066595E">
        <w:t>.</w:t>
      </w:r>
    </w:p>
    <w:tbl>
      <w:tblPr>
        <w:tblW w:w="8928" w:type="dxa"/>
        <w:tblInd w:w="360" w:type="dxa"/>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1824"/>
        <w:gridCol w:w="3878"/>
        <w:gridCol w:w="3226"/>
      </w:tblGrid>
      <w:tr w:rsidR="00AF6360" w:rsidRPr="00606A6B" w14:paraId="4A8A9AA7" w14:textId="77777777" w:rsidTr="006E5857">
        <w:tc>
          <w:tcPr>
            <w:tcW w:w="1824" w:type="dxa"/>
            <w:shd w:val="clear" w:color="auto" w:fill="FFFF00"/>
          </w:tcPr>
          <w:p w14:paraId="6EFC0BA9" w14:textId="77777777" w:rsidR="00AF6360" w:rsidRPr="00606A6B" w:rsidRDefault="00AF6360" w:rsidP="006E5857">
            <w:pPr>
              <w:autoSpaceDE w:val="0"/>
              <w:autoSpaceDN w:val="0"/>
              <w:adjustRightInd w:val="0"/>
              <w:spacing w:after="0"/>
              <w:rPr>
                <w:b/>
                <w:sz w:val="16"/>
                <w:szCs w:val="16"/>
              </w:rPr>
            </w:pPr>
            <w:r w:rsidRPr="00606A6B">
              <w:rPr>
                <w:b/>
                <w:sz w:val="16"/>
                <w:szCs w:val="16"/>
              </w:rPr>
              <w:t>Intressent</w:t>
            </w:r>
          </w:p>
        </w:tc>
        <w:tc>
          <w:tcPr>
            <w:tcW w:w="3878" w:type="dxa"/>
            <w:shd w:val="clear" w:color="auto" w:fill="FFFF00"/>
          </w:tcPr>
          <w:p w14:paraId="56583C0B" w14:textId="77777777" w:rsidR="00AF6360" w:rsidRPr="00606A6B" w:rsidRDefault="00AF6360" w:rsidP="006E5857">
            <w:pPr>
              <w:autoSpaceDE w:val="0"/>
              <w:autoSpaceDN w:val="0"/>
              <w:adjustRightInd w:val="0"/>
              <w:spacing w:after="0"/>
              <w:rPr>
                <w:b/>
                <w:sz w:val="16"/>
                <w:szCs w:val="16"/>
              </w:rPr>
            </w:pPr>
            <w:r w:rsidRPr="00606A6B">
              <w:rPr>
                <w:b/>
                <w:sz w:val="16"/>
                <w:szCs w:val="16"/>
              </w:rPr>
              <w:t>Dialogtillfällen</w:t>
            </w:r>
          </w:p>
        </w:tc>
        <w:tc>
          <w:tcPr>
            <w:tcW w:w="3226" w:type="dxa"/>
            <w:shd w:val="clear" w:color="auto" w:fill="FFFF00"/>
          </w:tcPr>
          <w:p w14:paraId="12045055" w14:textId="77777777" w:rsidR="00AF6360" w:rsidRPr="00606A6B" w:rsidRDefault="00AF6360" w:rsidP="006E5857">
            <w:pPr>
              <w:autoSpaceDE w:val="0"/>
              <w:autoSpaceDN w:val="0"/>
              <w:adjustRightInd w:val="0"/>
              <w:spacing w:after="0"/>
              <w:rPr>
                <w:b/>
                <w:sz w:val="16"/>
                <w:szCs w:val="16"/>
              </w:rPr>
            </w:pPr>
            <w:r w:rsidRPr="00606A6B">
              <w:rPr>
                <w:b/>
                <w:sz w:val="16"/>
                <w:szCs w:val="16"/>
              </w:rPr>
              <w:t>Intressentens förväntningar på oss</w:t>
            </w:r>
          </w:p>
        </w:tc>
      </w:tr>
      <w:tr w:rsidR="00AF6360" w:rsidRPr="00606A6B" w14:paraId="377458C5" w14:textId="77777777" w:rsidTr="006E5857">
        <w:tc>
          <w:tcPr>
            <w:tcW w:w="1824" w:type="dxa"/>
          </w:tcPr>
          <w:p w14:paraId="425BE756" w14:textId="77777777" w:rsidR="00AF6360" w:rsidRPr="00606A6B" w:rsidRDefault="00AF6360" w:rsidP="006E5857">
            <w:pPr>
              <w:autoSpaceDE w:val="0"/>
              <w:autoSpaceDN w:val="0"/>
              <w:adjustRightInd w:val="0"/>
              <w:spacing w:after="0"/>
              <w:rPr>
                <w:sz w:val="16"/>
                <w:szCs w:val="16"/>
              </w:rPr>
            </w:pPr>
            <w:r w:rsidRPr="00606A6B">
              <w:rPr>
                <w:sz w:val="16"/>
                <w:szCs w:val="16"/>
              </w:rPr>
              <w:t>Kunder</w:t>
            </w:r>
          </w:p>
        </w:tc>
        <w:tc>
          <w:tcPr>
            <w:tcW w:w="3878" w:type="dxa"/>
          </w:tcPr>
          <w:p w14:paraId="5AC6B2F2" w14:textId="77777777" w:rsidR="00565A6A" w:rsidRPr="00606A6B" w:rsidRDefault="00565A6A" w:rsidP="006E5857">
            <w:pPr>
              <w:autoSpaceDE w:val="0"/>
              <w:autoSpaceDN w:val="0"/>
              <w:adjustRightInd w:val="0"/>
              <w:spacing w:after="0"/>
              <w:rPr>
                <w:sz w:val="16"/>
                <w:szCs w:val="16"/>
              </w:rPr>
            </w:pPr>
            <w:r w:rsidRPr="00606A6B">
              <w:rPr>
                <w:sz w:val="16"/>
                <w:szCs w:val="16"/>
              </w:rPr>
              <w:t>Övergripande varumärkesundersökning</w:t>
            </w:r>
            <w:r w:rsidR="00A774BE" w:rsidRPr="00606A6B">
              <w:rPr>
                <w:sz w:val="16"/>
                <w:szCs w:val="16"/>
              </w:rPr>
              <w:t xml:space="preserve">. </w:t>
            </w:r>
            <w:r w:rsidRPr="00606A6B">
              <w:rPr>
                <w:sz w:val="16"/>
                <w:szCs w:val="16"/>
              </w:rPr>
              <w:t>Dessutom gör</w:t>
            </w:r>
            <w:r w:rsidR="008E7008" w:rsidRPr="00606A6B">
              <w:rPr>
                <w:sz w:val="16"/>
                <w:szCs w:val="16"/>
              </w:rPr>
              <w:t xml:space="preserve"> vi </w:t>
            </w:r>
            <w:r w:rsidRPr="00606A6B">
              <w:rPr>
                <w:sz w:val="16"/>
                <w:szCs w:val="16"/>
              </w:rPr>
              <w:t xml:space="preserve"> varje år en undersökning bland vissa kunder/partners för att mäta hyrbilspreferens och varumärkeskännedom.</w:t>
            </w:r>
          </w:p>
          <w:p w14:paraId="13CBCC8D" w14:textId="77777777" w:rsidR="006E5857" w:rsidRPr="00606A6B" w:rsidRDefault="00565A6A" w:rsidP="006E5857">
            <w:pPr>
              <w:autoSpaceDE w:val="0"/>
              <w:autoSpaceDN w:val="0"/>
              <w:adjustRightInd w:val="0"/>
              <w:spacing w:after="0"/>
              <w:rPr>
                <w:sz w:val="16"/>
                <w:szCs w:val="16"/>
              </w:rPr>
            </w:pPr>
            <w:r w:rsidRPr="00606A6B">
              <w:rPr>
                <w:sz w:val="16"/>
                <w:szCs w:val="16"/>
              </w:rPr>
              <w:t>Daglig mätning av kundnöjdhetsindex.</w:t>
            </w:r>
          </w:p>
          <w:p w14:paraId="0C730083" w14:textId="77777777" w:rsidR="00565A6A" w:rsidRPr="00606A6B" w:rsidRDefault="00565A6A" w:rsidP="006E5857">
            <w:pPr>
              <w:autoSpaceDE w:val="0"/>
              <w:autoSpaceDN w:val="0"/>
              <w:adjustRightInd w:val="0"/>
              <w:spacing w:after="0"/>
              <w:rPr>
                <w:sz w:val="16"/>
                <w:szCs w:val="16"/>
              </w:rPr>
            </w:pPr>
            <w:r w:rsidRPr="00606A6B">
              <w:rPr>
                <w:sz w:val="16"/>
                <w:szCs w:val="16"/>
              </w:rPr>
              <w:t>Kundevenemang enligt marknadsföringsplan för sponsorskap, partnerskap och andra aktiviteter.</w:t>
            </w:r>
          </w:p>
          <w:p w14:paraId="32E7596A" w14:textId="77777777" w:rsidR="00AF6360" w:rsidRPr="00606A6B" w:rsidRDefault="00565A6A" w:rsidP="006E5857">
            <w:pPr>
              <w:autoSpaceDE w:val="0"/>
              <w:autoSpaceDN w:val="0"/>
              <w:adjustRightInd w:val="0"/>
              <w:spacing w:after="0"/>
              <w:rPr>
                <w:sz w:val="16"/>
                <w:szCs w:val="16"/>
              </w:rPr>
            </w:pPr>
            <w:r w:rsidRPr="00606A6B">
              <w:rPr>
                <w:sz w:val="16"/>
                <w:szCs w:val="16"/>
              </w:rPr>
              <w:t>Kundenkäter, bland annat om upplevelsen av automatiserad uthyrning</w:t>
            </w:r>
            <w:r w:rsidR="00682608" w:rsidRPr="00606A6B">
              <w:rPr>
                <w:sz w:val="16"/>
                <w:szCs w:val="16"/>
              </w:rPr>
              <w:t>.</w:t>
            </w:r>
          </w:p>
          <w:p w14:paraId="705DF758" w14:textId="77777777" w:rsidR="00356C42" w:rsidRPr="00606A6B" w:rsidRDefault="00356C42" w:rsidP="006E5857">
            <w:pPr>
              <w:autoSpaceDE w:val="0"/>
              <w:autoSpaceDN w:val="0"/>
              <w:adjustRightInd w:val="0"/>
              <w:spacing w:after="0"/>
              <w:rPr>
                <w:sz w:val="16"/>
                <w:szCs w:val="16"/>
              </w:rPr>
            </w:pPr>
            <w:r w:rsidRPr="00606A6B">
              <w:rPr>
                <w:sz w:val="16"/>
                <w:szCs w:val="16"/>
              </w:rPr>
              <w:t>Bilpoolsverksamheten gör också en mängd undersökningar på kunders beteenden samt kundenkäter.</w:t>
            </w:r>
          </w:p>
        </w:tc>
        <w:tc>
          <w:tcPr>
            <w:tcW w:w="3226" w:type="dxa"/>
          </w:tcPr>
          <w:p w14:paraId="5FE6E1E1" w14:textId="77777777" w:rsidR="00AF6360" w:rsidRPr="00606A6B" w:rsidRDefault="00036F21" w:rsidP="006E5857">
            <w:pPr>
              <w:autoSpaceDE w:val="0"/>
              <w:autoSpaceDN w:val="0"/>
              <w:adjustRightInd w:val="0"/>
              <w:spacing w:after="0"/>
              <w:rPr>
                <w:sz w:val="16"/>
                <w:szCs w:val="16"/>
              </w:rPr>
            </w:pPr>
            <w:r w:rsidRPr="00606A6B">
              <w:rPr>
                <w:sz w:val="16"/>
                <w:szCs w:val="16"/>
              </w:rPr>
              <w:t xml:space="preserve">Att vi kan erbjuda hyrbilar till ett bra pris. Att vi kan erbjuda en produkt som har minimal påverkan på vår miljö </w:t>
            </w:r>
            <w:r w:rsidR="008E7008" w:rsidRPr="00606A6B">
              <w:rPr>
                <w:sz w:val="16"/>
                <w:szCs w:val="16"/>
              </w:rPr>
              <w:t xml:space="preserve">och </w:t>
            </w:r>
            <w:r w:rsidRPr="00606A6B">
              <w:rPr>
                <w:sz w:val="16"/>
                <w:szCs w:val="16"/>
              </w:rPr>
              <w:t xml:space="preserve">att vi är öppna och transparenta i vår kommunikation. </w:t>
            </w:r>
          </w:p>
        </w:tc>
      </w:tr>
      <w:tr w:rsidR="00AF6360" w:rsidRPr="00606A6B" w14:paraId="33D86BB6" w14:textId="77777777" w:rsidTr="006E5857">
        <w:trPr>
          <w:trHeight w:val="915"/>
        </w:trPr>
        <w:tc>
          <w:tcPr>
            <w:tcW w:w="1824" w:type="dxa"/>
          </w:tcPr>
          <w:p w14:paraId="057E43DA" w14:textId="77777777" w:rsidR="00AF6360" w:rsidRPr="00606A6B" w:rsidRDefault="00AF6360" w:rsidP="006E5857">
            <w:pPr>
              <w:autoSpaceDE w:val="0"/>
              <w:autoSpaceDN w:val="0"/>
              <w:adjustRightInd w:val="0"/>
              <w:spacing w:after="0"/>
              <w:rPr>
                <w:sz w:val="16"/>
                <w:szCs w:val="16"/>
              </w:rPr>
            </w:pPr>
            <w:r w:rsidRPr="00606A6B">
              <w:rPr>
                <w:sz w:val="16"/>
                <w:szCs w:val="16"/>
              </w:rPr>
              <w:t>Ägare</w:t>
            </w:r>
          </w:p>
        </w:tc>
        <w:tc>
          <w:tcPr>
            <w:tcW w:w="3878" w:type="dxa"/>
          </w:tcPr>
          <w:p w14:paraId="57FDC435" w14:textId="77777777" w:rsidR="00AF6360" w:rsidRPr="00606A6B" w:rsidRDefault="00565A6A" w:rsidP="006E5857">
            <w:pPr>
              <w:autoSpaceDE w:val="0"/>
              <w:autoSpaceDN w:val="0"/>
              <w:adjustRightInd w:val="0"/>
              <w:spacing w:after="0"/>
              <w:rPr>
                <w:sz w:val="16"/>
                <w:szCs w:val="16"/>
              </w:rPr>
            </w:pPr>
            <w:r w:rsidRPr="00606A6B">
              <w:rPr>
                <w:sz w:val="16"/>
                <w:szCs w:val="16"/>
              </w:rPr>
              <w:t>Styrelsemöten</w:t>
            </w:r>
          </w:p>
        </w:tc>
        <w:tc>
          <w:tcPr>
            <w:tcW w:w="3226" w:type="dxa"/>
          </w:tcPr>
          <w:p w14:paraId="3D5D0011" w14:textId="29825637" w:rsidR="00036F21" w:rsidRPr="00606A6B" w:rsidRDefault="00036F21" w:rsidP="00356C42">
            <w:pPr>
              <w:autoSpaceDE w:val="0"/>
              <w:autoSpaceDN w:val="0"/>
              <w:adjustRightInd w:val="0"/>
              <w:spacing w:after="0"/>
              <w:rPr>
                <w:sz w:val="16"/>
                <w:szCs w:val="16"/>
              </w:rPr>
            </w:pPr>
            <w:r w:rsidRPr="00606A6B">
              <w:rPr>
                <w:sz w:val="16"/>
                <w:szCs w:val="16"/>
              </w:rPr>
              <w:t>Hertz</w:t>
            </w:r>
            <w:r w:rsidR="00844B38">
              <w:rPr>
                <w:sz w:val="16"/>
                <w:szCs w:val="16"/>
              </w:rPr>
              <w:t xml:space="preserve"> </w:t>
            </w:r>
            <w:r w:rsidRPr="00606A6B">
              <w:rPr>
                <w:sz w:val="16"/>
                <w:szCs w:val="16"/>
              </w:rPr>
              <w:t>ska vara marknadsledande</w:t>
            </w:r>
            <w:r w:rsidR="006522F7" w:rsidRPr="00606A6B">
              <w:rPr>
                <w:sz w:val="16"/>
                <w:szCs w:val="16"/>
              </w:rPr>
              <w:t xml:space="preserve"> </w:t>
            </w:r>
            <w:r w:rsidR="00775D13" w:rsidRPr="00606A6B">
              <w:rPr>
                <w:sz w:val="16"/>
                <w:szCs w:val="16"/>
              </w:rPr>
              <w:t xml:space="preserve">och ha god lönsamhet som innefattar miljöhänsyn, socialt ansvar och hållbarhet i </w:t>
            </w:r>
            <w:r w:rsidR="00491C78" w:rsidRPr="00606A6B">
              <w:rPr>
                <w:sz w:val="16"/>
                <w:szCs w:val="16"/>
              </w:rPr>
              <w:t>verksamheten.</w:t>
            </w:r>
            <w:r w:rsidR="00775D13" w:rsidRPr="00606A6B">
              <w:rPr>
                <w:sz w:val="16"/>
                <w:szCs w:val="16"/>
              </w:rPr>
              <w:t xml:space="preserve"> </w:t>
            </w:r>
            <w:r w:rsidR="00356C42" w:rsidRPr="00606A6B">
              <w:rPr>
                <w:sz w:val="16"/>
                <w:szCs w:val="16"/>
              </w:rPr>
              <w:t xml:space="preserve">Bilreda är inte marknadsledande men ska ligga i framkant inom digitalisering av de tjänster de levererar. </w:t>
            </w:r>
          </w:p>
        </w:tc>
      </w:tr>
      <w:tr w:rsidR="00AF6360" w:rsidRPr="00606A6B" w14:paraId="20B13399" w14:textId="77777777" w:rsidTr="006E5857">
        <w:tc>
          <w:tcPr>
            <w:tcW w:w="1824" w:type="dxa"/>
          </w:tcPr>
          <w:p w14:paraId="10A8EF4D" w14:textId="77777777" w:rsidR="00AF6360" w:rsidRPr="00606A6B" w:rsidRDefault="00AF6360" w:rsidP="006E5857">
            <w:pPr>
              <w:autoSpaceDE w:val="0"/>
              <w:autoSpaceDN w:val="0"/>
              <w:adjustRightInd w:val="0"/>
              <w:spacing w:after="0"/>
              <w:rPr>
                <w:sz w:val="16"/>
                <w:szCs w:val="16"/>
              </w:rPr>
            </w:pPr>
            <w:r w:rsidRPr="00606A6B">
              <w:rPr>
                <w:sz w:val="16"/>
                <w:szCs w:val="16"/>
              </w:rPr>
              <w:t>Ledning</w:t>
            </w:r>
          </w:p>
        </w:tc>
        <w:tc>
          <w:tcPr>
            <w:tcW w:w="3878" w:type="dxa"/>
          </w:tcPr>
          <w:p w14:paraId="3BF109B5" w14:textId="77777777" w:rsidR="00AF6360" w:rsidRPr="00606A6B" w:rsidRDefault="00B343ED" w:rsidP="006E5857">
            <w:pPr>
              <w:autoSpaceDE w:val="0"/>
              <w:autoSpaceDN w:val="0"/>
              <w:adjustRightInd w:val="0"/>
              <w:spacing w:after="0"/>
              <w:rPr>
                <w:sz w:val="16"/>
                <w:szCs w:val="16"/>
              </w:rPr>
            </w:pPr>
            <w:r w:rsidRPr="00606A6B">
              <w:rPr>
                <w:sz w:val="16"/>
                <w:szCs w:val="16"/>
              </w:rPr>
              <w:t>Styrelse</w:t>
            </w:r>
            <w:r w:rsidR="00565A6A" w:rsidRPr="00606A6B">
              <w:rPr>
                <w:sz w:val="16"/>
                <w:szCs w:val="16"/>
              </w:rPr>
              <w:t>möten</w:t>
            </w:r>
          </w:p>
          <w:p w14:paraId="290E2917" w14:textId="77777777" w:rsidR="00565A6A" w:rsidRPr="00606A6B" w:rsidRDefault="00565A6A" w:rsidP="006E5857">
            <w:pPr>
              <w:autoSpaceDE w:val="0"/>
              <w:autoSpaceDN w:val="0"/>
              <w:adjustRightInd w:val="0"/>
              <w:spacing w:after="0"/>
              <w:rPr>
                <w:sz w:val="16"/>
                <w:szCs w:val="16"/>
              </w:rPr>
            </w:pPr>
            <w:r w:rsidRPr="00606A6B">
              <w:rPr>
                <w:sz w:val="16"/>
                <w:szCs w:val="16"/>
              </w:rPr>
              <w:t>Ledningsgruppsmöten</w:t>
            </w:r>
          </w:p>
        </w:tc>
        <w:tc>
          <w:tcPr>
            <w:tcW w:w="3226" w:type="dxa"/>
          </w:tcPr>
          <w:p w14:paraId="1F4B2402" w14:textId="77777777" w:rsidR="00AF6360" w:rsidRPr="00606A6B" w:rsidRDefault="00036F21" w:rsidP="006E5857">
            <w:pPr>
              <w:autoSpaceDE w:val="0"/>
              <w:autoSpaceDN w:val="0"/>
              <w:adjustRightInd w:val="0"/>
              <w:spacing w:after="0"/>
              <w:rPr>
                <w:sz w:val="16"/>
                <w:szCs w:val="16"/>
              </w:rPr>
            </w:pPr>
            <w:r w:rsidRPr="00606A6B">
              <w:rPr>
                <w:sz w:val="16"/>
                <w:szCs w:val="16"/>
              </w:rPr>
              <w:t>Att de produkter vi levererar motsvarar de krav vi ställt. Att vi är lönsamma.</w:t>
            </w:r>
          </w:p>
        </w:tc>
      </w:tr>
      <w:tr w:rsidR="00AF6360" w:rsidRPr="00606A6B" w14:paraId="765AE873" w14:textId="77777777" w:rsidTr="006E5857">
        <w:tc>
          <w:tcPr>
            <w:tcW w:w="1824" w:type="dxa"/>
          </w:tcPr>
          <w:p w14:paraId="49154A60" w14:textId="77777777" w:rsidR="00AF6360" w:rsidRPr="00606A6B" w:rsidRDefault="00AF6360" w:rsidP="006E5857">
            <w:pPr>
              <w:autoSpaceDE w:val="0"/>
              <w:autoSpaceDN w:val="0"/>
              <w:adjustRightInd w:val="0"/>
              <w:spacing w:after="0"/>
              <w:rPr>
                <w:sz w:val="16"/>
                <w:szCs w:val="16"/>
              </w:rPr>
            </w:pPr>
            <w:r w:rsidRPr="00606A6B">
              <w:rPr>
                <w:sz w:val="16"/>
                <w:szCs w:val="16"/>
              </w:rPr>
              <w:t>Medarbetare</w:t>
            </w:r>
          </w:p>
        </w:tc>
        <w:tc>
          <w:tcPr>
            <w:tcW w:w="3878" w:type="dxa"/>
          </w:tcPr>
          <w:p w14:paraId="50D31DE4" w14:textId="77777777" w:rsidR="00565A6A" w:rsidRPr="00606A6B" w:rsidRDefault="00565A6A" w:rsidP="006E5857">
            <w:pPr>
              <w:autoSpaceDE w:val="0"/>
              <w:autoSpaceDN w:val="0"/>
              <w:adjustRightInd w:val="0"/>
              <w:spacing w:after="0"/>
              <w:rPr>
                <w:sz w:val="16"/>
                <w:szCs w:val="16"/>
              </w:rPr>
            </w:pPr>
            <w:r w:rsidRPr="00606A6B">
              <w:rPr>
                <w:sz w:val="16"/>
                <w:szCs w:val="16"/>
              </w:rPr>
              <w:t>Regionmöten med egna anställda, agenter och franchisetagare. Två möten per region och år.</w:t>
            </w:r>
          </w:p>
          <w:p w14:paraId="4E2E8593" w14:textId="77777777" w:rsidR="00565A6A" w:rsidRPr="00606A6B" w:rsidRDefault="00565A6A" w:rsidP="006E5857">
            <w:pPr>
              <w:autoSpaceDE w:val="0"/>
              <w:autoSpaceDN w:val="0"/>
              <w:adjustRightInd w:val="0"/>
              <w:spacing w:after="0"/>
              <w:rPr>
                <w:sz w:val="16"/>
                <w:szCs w:val="16"/>
              </w:rPr>
            </w:pPr>
            <w:r w:rsidRPr="00606A6B">
              <w:rPr>
                <w:sz w:val="16"/>
                <w:szCs w:val="16"/>
              </w:rPr>
              <w:t>Regelbundna individuella utvecklingssamtal mellan chefer och medarbetare, minst en gång per år, ibland oftare.</w:t>
            </w:r>
          </w:p>
          <w:p w14:paraId="69C738C2" w14:textId="77777777" w:rsidR="00565A6A" w:rsidRPr="00606A6B" w:rsidRDefault="00565A6A" w:rsidP="006E5857">
            <w:pPr>
              <w:autoSpaceDE w:val="0"/>
              <w:autoSpaceDN w:val="0"/>
              <w:adjustRightInd w:val="0"/>
              <w:spacing w:after="0"/>
              <w:rPr>
                <w:sz w:val="16"/>
                <w:szCs w:val="16"/>
              </w:rPr>
            </w:pPr>
            <w:r w:rsidRPr="00606A6B">
              <w:rPr>
                <w:sz w:val="16"/>
                <w:szCs w:val="16"/>
              </w:rPr>
              <w:lastRenderedPageBreak/>
              <w:t>Årligt möte där alla medarbetare bjuds in för att ta del av och diskutera företagets affärsplaner, värderingar och liknande.</w:t>
            </w:r>
          </w:p>
          <w:p w14:paraId="0C559F03" w14:textId="77777777" w:rsidR="00844B38" w:rsidRDefault="00565A6A" w:rsidP="006E5857">
            <w:pPr>
              <w:autoSpaceDE w:val="0"/>
              <w:autoSpaceDN w:val="0"/>
              <w:adjustRightInd w:val="0"/>
              <w:spacing w:after="0"/>
              <w:rPr>
                <w:sz w:val="16"/>
                <w:szCs w:val="16"/>
              </w:rPr>
            </w:pPr>
            <w:r w:rsidRPr="00606A6B">
              <w:rPr>
                <w:sz w:val="16"/>
                <w:szCs w:val="16"/>
              </w:rPr>
              <w:t>Mätningar av med</w:t>
            </w:r>
            <w:r w:rsidR="00E85E53" w:rsidRPr="00606A6B">
              <w:rPr>
                <w:sz w:val="16"/>
                <w:szCs w:val="16"/>
              </w:rPr>
              <w:t>arbetarna</w:t>
            </w:r>
            <w:r w:rsidR="00844B38">
              <w:rPr>
                <w:sz w:val="16"/>
                <w:szCs w:val="16"/>
              </w:rPr>
              <w:t xml:space="preserve">s uppfattning av Hertz och </w:t>
            </w:r>
          </w:p>
          <w:p w14:paraId="1AD95AF2" w14:textId="08324A36" w:rsidR="00AF6360" w:rsidRPr="009A1B16" w:rsidRDefault="00E85E53" w:rsidP="006E5857">
            <w:pPr>
              <w:autoSpaceDE w:val="0"/>
              <w:autoSpaceDN w:val="0"/>
              <w:adjustRightInd w:val="0"/>
              <w:spacing w:after="0"/>
              <w:rPr>
                <w:sz w:val="16"/>
                <w:szCs w:val="16"/>
                <w:lang w:val="en-US"/>
              </w:rPr>
            </w:pPr>
            <w:r w:rsidRPr="009A1B16">
              <w:rPr>
                <w:sz w:val="16"/>
                <w:szCs w:val="16"/>
                <w:lang w:val="en-US"/>
              </w:rPr>
              <w:t>Bilreda</w:t>
            </w:r>
            <w:r w:rsidR="00565A6A" w:rsidRPr="009A1B16">
              <w:rPr>
                <w:sz w:val="16"/>
                <w:szCs w:val="16"/>
                <w:lang w:val="en-US"/>
              </w:rPr>
              <w:t xml:space="preserve"> ESI (</w:t>
            </w:r>
            <w:r w:rsidR="008E59CC" w:rsidRPr="009A1B16">
              <w:rPr>
                <w:sz w:val="16"/>
                <w:szCs w:val="16"/>
                <w:lang w:val="en-US"/>
              </w:rPr>
              <w:t>Employer</w:t>
            </w:r>
            <w:r w:rsidR="00565A6A" w:rsidRPr="009A1B16">
              <w:rPr>
                <w:sz w:val="16"/>
                <w:szCs w:val="16"/>
                <w:lang w:val="en-US"/>
              </w:rPr>
              <w:t xml:space="preserve"> Satisfaction Index).</w:t>
            </w:r>
          </w:p>
        </w:tc>
        <w:tc>
          <w:tcPr>
            <w:tcW w:w="3226" w:type="dxa"/>
          </w:tcPr>
          <w:p w14:paraId="1F82C20B" w14:textId="77777777" w:rsidR="00AF6360" w:rsidRPr="00606A6B" w:rsidRDefault="00036F21" w:rsidP="006E5857">
            <w:pPr>
              <w:autoSpaceDE w:val="0"/>
              <w:autoSpaceDN w:val="0"/>
              <w:adjustRightInd w:val="0"/>
              <w:spacing w:after="0"/>
              <w:rPr>
                <w:sz w:val="16"/>
                <w:szCs w:val="16"/>
              </w:rPr>
            </w:pPr>
            <w:r w:rsidRPr="00606A6B">
              <w:rPr>
                <w:sz w:val="16"/>
                <w:szCs w:val="16"/>
              </w:rPr>
              <w:lastRenderedPageBreak/>
              <w:t>Att vi är en bra och stabil arbetsgivare med bra arbetsmiljö och goda utvecklingsmöjligheter</w:t>
            </w:r>
            <w:r w:rsidR="00775D13" w:rsidRPr="00606A6B">
              <w:rPr>
                <w:sz w:val="16"/>
                <w:szCs w:val="16"/>
              </w:rPr>
              <w:t>.</w:t>
            </w:r>
          </w:p>
        </w:tc>
      </w:tr>
      <w:tr w:rsidR="00AF6360" w:rsidRPr="00606A6B" w14:paraId="6BA90695" w14:textId="77777777" w:rsidTr="006E5857">
        <w:tc>
          <w:tcPr>
            <w:tcW w:w="1824" w:type="dxa"/>
          </w:tcPr>
          <w:p w14:paraId="1894766C" w14:textId="4BC1DBB4" w:rsidR="00AF6360" w:rsidRPr="00606A6B" w:rsidRDefault="00AF6360" w:rsidP="006E5857">
            <w:pPr>
              <w:autoSpaceDE w:val="0"/>
              <w:autoSpaceDN w:val="0"/>
              <w:adjustRightInd w:val="0"/>
              <w:spacing w:after="0"/>
              <w:rPr>
                <w:sz w:val="16"/>
                <w:szCs w:val="16"/>
              </w:rPr>
            </w:pPr>
            <w:r w:rsidRPr="00606A6B">
              <w:rPr>
                <w:sz w:val="16"/>
                <w:szCs w:val="16"/>
              </w:rPr>
              <w:t>Återförsäljare</w:t>
            </w:r>
          </w:p>
        </w:tc>
        <w:tc>
          <w:tcPr>
            <w:tcW w:w="3878" w:type="dxa"/>
          </w:tcPr>
          <w:p w14:paraId="128FBD6B" w14:textId="77777777" w:rsidR="00AF6360" w:rsidRPr="00606A6B" w:rsidRDefault="00B343ED" w:rsidP="006E5857">
            <w:pPr>
              <w:autoSpaceDE w:val="0"/>
              <w:autoSpaceDN w:val="0"/>
              <w:adjustRightInd w:val="0"/>
              <w:spacing w:after="0"/>
              <w:rPr>
                <w:sz w:val="16"/>
                <w:szCs w:val="16"/>
              </w:rPr>
            </w:pPr>
            <w:r w:rsidRPr="00606A6B">
              <w:rPr>
                <w:sz w:val="16"/>
                <w:szCs w:val="16"/>
              </w:rPr>
              <w:t>Regionmöten med egna anställda, agenter och franchisetagare. Två möten per region och år.</w:t>
            </w:r>
          </w:p>
        </w:tc>
        <w:tc>
          <w:tcPr>
            <w:tcW w:w="3226" w:type="dxa"/>
          </w:tcPr>
          <w:p w14:paraId="2F625D7B" w14:textId="77777777" w:rsidR="00AF6360" w:rsidRPr="00606A6B" w:rsidRDefault="00036F21" w:rsidP="006E5857">
            <w:pPr>
              <w:autoSpaceDE w:val="0"/>
              <w:autoSpaceDN w:val="0"/>
              <w:adjustRightInd w:val="0"/>
              <w:spacing w:after="0"/>
              <w:rPr>
                <w:sz w:val="16"/>
                <w:szCs w:val="16"/>
              </w:rPr>
            </w:pPr>
            <w:r w:rsidRPr="00606A6B">
              <w:rPr>
                <w:sz w:val="16"/>
                <w:szCs w:val="16"/>
              </w:rPr>
              <w:t>Att tjäns</w:t>
            </w:r>
            <w:r w:rsidR="00EF3A35" w:rsidRPr="00606A6B">
              <w:rPr>
                <w:sz w:val="16"/>
                <w:szCs w:val="16"/>
              </w:rPr>
              <w:t>terna vi tillhandahåller till återförsäljarna</w:t>
            </w:r>
            <w:r w:rsidRPr="00606A6B">
              <w:rPr>
                <w:sz w:val="16"/>
                <w:szCs w:val="16"/>
              </w:rPr>
              <w:t xml:space="preserve"> är konkurrenskraftiga. Att produkterna </w:t>
            </w:r>
            <w:r w:rsidR="00EF3A35" w:rsidRPr="00606A6B">
              <w:rPr>
                <w:sz w:val="16"/>
                <w:szCs w:val="16"/>
              </w:rPr>
              <w:t>är prisvärda.</w:t>
            </w:r>
          </w:p>
        </w:tc>
      </w:tr>
      <w:tr w:rsidR="00AF6360" w:rsidRPr="00606A6B" w14:paraId="476DB35F" w14:textId="77777777" w:rsidTr="006E5857">
        <w:tc>
          <w:tcPr>
            <w:tcW w:w="1824" w:type="dxa"/>
          </w:tcPr>
          <w:p w14:paraId="4E6E663C" w14:textId="77777777" w:rsidR="00AF6360" w:rsidRPr="00606A6B" w:rsidRDefault="00FF74CD" w:rsidP="006E5857">
            <w:pPr>
              <w:autoSpaceDE w:val="0"/>
              <w:autoSpaceDN w:val="0"/>
              <w:adjustRightInd w:val="0"/>
              <w:spacing w:after="0"/>
              <w:rPr>
                <w:sz w:val="16"/>
                <w:szCs w:val="16"/>
              </w:rPr>
            </w:pPr>
            <w:r w:rsidRPr="00606A6B">
              <w:rPr>
                <w:sz w:val="16"/>
                <w:szCs w:val="16"/>
              </w:rPr>
              <w:t>Leverantörer</w:t>
            </w:r>
          </w:p>
        </w:tc>
        <w:tc>
          <w:tcPr>
            <w:tcW w:w="3878" w:type="dxa"/>
          </w:tcPr>
          <w:p w14:paraId="7C54D90B" w14:textId="77777777" w:rsidR="00AF6360" w:rsidRPr="00606A6B" w:rsidRDefault="00B343ED" w:rsidP="006E5857">
            <w:pPr>
              <w:autoSpaceDE w:val="0"/>
              <w:autoSpaceDN w:val="0"/>
              <w:adjustRightInd w:val="0"/>
              <w:spacing w:after="0"/>
              <w:rPr>
                <w:sz w:val="16"/>
                <w:szCs w:val="16"/>
              </w:rPr>
            </w:pPr>
            <w:r w:rsidRPr="00606A6B">
              <w:rPr>
                <w:sz w:val="16"/>
                <w:szCs w:val="16"/>
              </w:rPr>
              <w:t>Löpande samtal</w:t>
            </w:r>
          </w:p>
        </w:tc>
        <w:tc>
          <w:tcPr>
            <w:tcW w:w="3226" w:type="dxa"/>
          </w:tcPr>
          <w:p w14:paraId="5E17859D" w14:textId="77777777" w:rsidR="00AF6360" w:rsidRPr="00606A6B" w:rsidRDefault="007A685B" w:rsidP="006E5857">
            <w:pPr>
              <w:autoSpaceDE w:val="0"/>
              <w:autoSpaceDN w:val="0"/>
              <w:adjustRightInd w:val="0"/>
              <w:spacing w:after="0"/>
              <w:rPr>
                <w:sz w:val="16"/>
                <w:szCs w:val="16"/>
              </w:rPr>
            </w:pPr>
            <w:r w:rsidRPr="00606A6B">
              <w:rPr>
                <w:sz w:val="16"/>
                <w:szCs w:val="16"/>
              </w:rPr>
              <w:t>Att de produkter vi levererar motsvarar de krav vi ställt. Att vi är lönsamma.</w:t>
            </w:r>
          </w:p>
        </w:tc>
      </w:tr>
      <w:tr w:rsidR="00AF6360" w:rsidRPr="00606A6B" w14:paraId="7AC75B81" w14:textId="77777777" w:rsidTr="006E5857">
        <w:tc>
          <w:tcPr>
            <w:tcW w:w="1824" w:type="dxa"/>
          </w:tcPr>
          <w:p w14:paraId="56872D76" w14:textId="77777777" w:rsidR="00AF6360" w:rsidRPr="00606A6B" w:rsidRDefault="00FF74CD" w:rsidP="006E5857">
            <w:pPr>
              <w:autoSpaceDE w:val="0"/>
              <w:autoSpaceDN w:val="0"/>
              <w:adjustRightInd w:val="0"/>
              <w:spacing w:after="0"/>
              <w:rPr>
                <w:sz w:val="16"/>
                <w:szCs w:val="16"/>
              </w:rPr>
            </w:pPr>
            <w:r w:rsidRPr="00606A6B">
              <w:rPr>
                <w:sz w:val="16"/>
                <w:szCs w:val="16"/>
              </w:rPr>
              <w:t>Agenter</w:t>
            </w:r>
          </w:p>
        </w:tc>
        <w:tc>
          <w:tcPr>
            <w:tcW w:w="3878" w:type="dxa"/>
          </w:tcPr>
          <w:p w14:paraId="1AE7DB91" w14:textId="77777777" w:rsidR="00AF6360" w:rsidRPr="00606A6B" w:rsidRDefault="00B343ED" w:rsidP="006E5857">
            <w:pPr>
              <w:autoSpaceDE w:val="0"/>
              <w:autoSpaceDN w:val="0"/>
              <w:adjustRightInd w:val="0"/>
              <w:spacing w:after="0"/>
              <w:rPr>
                <w:sz w:val="16"/>
                <w:szCs w:val="16"/>
              </w:rPr>
            </w:pPr>
            <w:r w:rsidRPr="00606A6B">
              <w:rPr>
                <w:sz w:val="16"/>
                <w:szCs w:val="16"/>
              </w:rPr>
              <w:t>Regionmöten med egna anställda, agenter och franchisetagare. Två möten per region och år.</w:t>
            </w:r>
          </w:p>
          <w:p w14:paraId="4BDEF908" w14:textId="77777777" w:rsidR="00B343ED" w:rsidRPr="00606A6B" w:rsidRDefault="00B343ED" w:rsidP="006E5857">
            <w:pPr>
              <w:autoSpaceDE w:val="0"/>
              <w:autoSpaceDN w:val="0"/>
              <w:adjustRightInd w:val="0"/>
              <w:spacing w:after="0"/>
              <w:rPr>
                <w:sz w:val="16"/>
                <w:szCs w:val="16"/>
              </w:rPr>
            </w:pPr>
            <w:r w:rsidRPr="00606A6B">
              <w:rPr>
                <w:sz w:val="16"/>
                <w:szCs w:val="16"/>
              </w:rPr>
              <w:t>Löpande samtal</w:t>
            </w:r>
          </w:p>
        </w:tc>
        <w:tc>
          <w:tcPr>
            <w:tcW w:w="3226" w:type="dxa"/>
          </w:tcPr>
          <w:p w14:paraId="440479F4" w14:textId="77777777" w:rsidR="00AF6360" w:rsidRPr="00606A6B" w:rsidRDefault="00EF3A35" w:rsidP="006E5857">
            <w:pPr>
              <w:autoSpaceDE w:val="0"/>
              <w:autoSpaceDN w:val="0"/>
              <w:adjustRightInd w:val="0"/>
              <w:spacing w:after="0"/>
              <w:rPr>
                <w:sz w:val="16"/>
                <w:szCs w:val="16"/>
              </w:rPr>
            </w:pPr>
            <w:r w:rsidRPr="00606A6B">
              <w:rPr>
                <w:sz w:val="16"/>
                <w:szCs w:val="16"/>
              </w:rPr>
              <w:t>Att priserna vi kan erbjuda är konkurrenskraftiga. Att vi har bilar i vår flotta vid tidpunkten för uthyrning.</w:t>
            </w:r>
            <w:r w:rsidR="007A685B" w:rsidRPr="00606A6B">
              <w:rPr>
                <w:sz w:val="16"/>
                <w:szCs w:val="16"/>
              </w:rPr>
              <w:t xml:space="preserve"> </w:t>
            </w:r>
          </w:p>
        </w:tc>
      </w:tr>
      <w:tr w:rsidR="00AF6360" w:rsidRPr="00606A6B" w14:paraId="18C8240A" w14:textId="77777777" w:rsidTr="006E5857">
        <w:tc>
          <w:tcPr>
            <w:tcW w:w="1824" w:type="dxa"/>
          </w:tcPr>
          <w:p w14:paraId="4D0E6A36" w14:textId="77777777" w:rsidR="00AF6360" w:rsidRPr="00606A6B" w:rsidRDefault="00FF74CD" w:rsidP="006E5857">
            <w:pPr>
              <w:autoSpaceDE w:val="0"/>
              <w:autoSpaceDN w:val="0"/>
              <w:adjustRightInd w:val="0"/>
              <w:spacing w:after="0"/>
              <w:rPr>
                <w:sz w:val="16"/>
                <w:szCs w:val="16"/>
              </w:rPr>
            </w:pPr>
            <w:r w:rsidRPr="00606A6B">
              <w:rPr>
                <w:sz w:val="16"/>
                <w:szCs w:val="16"/>
              </w:rPr>
              <w:t>Myndigheter</w:t>
            </w:r>
          </w:p>
        </w:tc>
        <w:tc>
          <w:tcPr>
            <w:tcW w:w="3878" w:type="dxa"/>
          </w:tcPr>
          <w:p w14:paraId="3D0D6751" w14:textId="77777777" w:rsidR="00AF6360" w:rsidRPr="00606A6B" w:rsidRDefault="00E85E53" w:rsidP="006E5857">
            <w:pPr>
              <w:autoSpaceDE w:val="0"/>
              <w:autoSpaceDN w:val="0"/>
              <w:adjustRightInd w:val="0"/>
              <w:spacing w:after="0"/>
              <w:rPr>
                <w:sz w:val="16"/>
                <w:szCs w:val="16"/>
              </w:rPr>
            </w:pPr>
            <w:r w:rsidRPr="00606A6B">
              <w:rPr>
                <w:sz w:val="16"/>
                <w:szCs w:val="16"/>
              </w:rPr>
              <w:t xml:space="preserve">Dialog med olika </w:t>
            </w:r>
            <w:r w:rsidR="00B343ED" w:rsidRPr="00606A6B">
              <w:rPr>
                <w:sz w:val="16"/>
                <w:szCs w:val="16"/>
              </w:rPr>
              <w:t>departement</w:t>
            </w:r>
            <w:r w:rsidR="00E6409E" w:rsidRPr="00606A6B">
              <w:rPr>
                <w:sz w:val="16"/>
                <w:szCs w:val="16"/>
              </w:rPr>
              <w:t xml:space="preserve"> </w:t>
            </w:r>
            <w:r w:rsidR="00B343ED" w:rsidRPr="00606A6B">
              <w:rPr>
                <w:sz w:val="16"/>
                <w:szCs w:val="16"/>
              </w:rPr>
              <w:t>kring frågor som berör möjligheter att bedriva biluthyrning.</w:t>
            </w:r>
          </w:p>
          <w:p w14:paraId="46417620" w14:textId="77777777" w:rsidR="00B343ED" w:rsidRPr="00606A6B" w:rsidRDefault="00B343ED" w:rsidP="006E5857">
            <w:pPr>
              <w:autoSpaceDE w:val="0"/>
              <w:autoSpaceDN w:val="0"/>
              <w:adjustRightInd w:val="0"/>
              <w:spacing w:after="0"/>
              <w:rPr>
                <w:sz w:val="16"/>
                <w:szCs w:val="16"/>
              </w:rPr>
            </w:pPr>
            <w:r w:rsidRPr="00606A6B">
              <w:rPr>
                <w:sz w:val="16"/>
                <w:szCs w:val="16"/>
              </w:rPr>
              <w:t xml:space="preserve">Årlig redovisning till </w:t>
            </w:r>
            <w:r w:rsidR="00E6409E" w:rsidRPr="00606A6B">
              <w:rPr>
                <w:sz w:val="16"/>
                <w:szCs w:val="16"/>
              </w:rPr>
              <w:t xml:space="preserve">de </w:t>
            </w:r>
            <w:r w:rsidRPr="00606A6B">
              <w:rPr>
                <w:sz w:val="16"/>
                <w:szCs w:val="16"/>
              </w:rPr>
              <w:t>kommuner där vi har biltvättar. Återkommande inspektioner från miljöförvaltningar</w:t>
            </w:r>
            <w:r w:rsidR="007A685B" w:rsidRPr="00606A6B">
              <w:rPr>
                <w:sz w:val="16"/>
                <w:szCs w:val="16"/>
              </w:rPr>
              <w:t xml:space="preserve"> i berörda kommuner.</w:t>
            </w:r>
          </w:p>
        </w:tc>
        <w:tc>
          <w:tcPr>
            <w:tcW w:w="3226" w:type="dxa"/>
          </w:tcPr>
          <w:p w14:paraId="585D9273" w14:textId="77777777" w:rsidR="00AF6360" w:rsidRPr="00606A6B" w:rsidRDefault="00EF3A35" w:rsidP="006E5857">
            <w:pPr>
              <w:autoSpaceDE w:val="0"/>
              <w:autoSpaceDN w:val="0"/>
              <w:adjustRightInd w:val="0"/>
              <w:spacing w:after="0"/>
              <w:rPr>
                <w:sz w:val="16"/>
                <w:szCs w:val="16"/>
              </w:rPr>
            </w:pPr>
            <w:r w:rsidRPr="00606A6B">
              <w:rPr>
                <w:sz w:val="16"/>
                <w:szCs w:val="16"/>
              </w:rPr>
              <w:t xml:space="preserve">Att vi följer de lagar och regler som gäller för den verksamhet vi bedriver. Att vi redovisar vattenprover på avloppsvatten </w:t>
            </w:r>
            <w:r w:rsidR="00775D13" w:rsidRPr="00606A6B">
              <w:rPr>
                <w:sz w:val="16"/>
                <w:szCs w:val="16"/>
              </w:rPr>
              <w:t xml:space="preserve">från </w:t>
            </w:r>
            <w:r w:rsidRPr="00606A6B">
              <w:rPr>
                <w:sz w:val="16"/>
                <w:szCs w:val="16"/>
              </w:rPr>
              <w:t>våra reningsanläggningar.</w:t>
            </w:r>
          </w:p>
        </w:tc>
      </w:tr>
      <w:tr w:rsidR="00AF6360" w:rsidRPr="00606A6B" w14:paraId="7A405375" w14:textId="77777777" w:rsidTr="006E5857">
        <w:tc>
          <w:tcPr>
            <w:tcW w:w="1824" w:type="dxa"/>
          </w:tcPr>
          <w:p w14:paraId="511B5A70" w14:textId="77777777" w:rsidR="00AF6360" w:rsidRPr="00606A6B" w:rsidRDefault="00FF74CD" w:rsidP="006E5857">
            <w:pPr>
              <w:autoSpaceDE w:val="0"/>
              <w:autoSpaceDN w:val="0"/>
              <w:adjustRightInd w:val="0"/>
              <w:spacing w:after="0"/>
              <w:rPr>
                <w:sz w:val="16"/>
                <w:szCs w:val="16"/>
              </w:rPr>
            </w:pPr>
            <w:r w:rsidRPr="00606A6B">
              <w:rPr>
                <w:sz w:val="16"/>
                <w:szCs w:val="16"/>
              </w:rPr>
              <w:t>Fackförening</w:t>
            </w:r>
            <w:r w:rsidR="00775D13" w:rsidRPr="00606A6B">
              <w:rPr>
                <w:sz w:val="16"/>
                <w:szCs w:val="16"/>
              </w:rPr>
              <w:t>ar</w:t>
            </w:r>
          </w:p>
        </w:tc>
        <w:tc>
          <w:tcPr>
            <w:tcW w:w="3878" w:type="dxa"/>
          </w:tcPr>
          <w:p w14:paraId="21696D7B" w14:textId="77777777" w:rsidR="00AF6360" w:rsidRPr="00606A6B" w:rsidRDefault="00EF3A35" w:rsidP="006E5857">
            <w:pPr>
              <w:autoSpaceDE w:val="0"/>
              <w:autoSpaceDN w:val="0"/>
              <w:adjustRightInd w:val="0"/>
              <w:spacing w:after="0"/>
              <w:rPr>
                <w:sz w:val="16"/>
                <w:szCs w:val="16"/>
              </w:rPr>
            </w:pPr>
            <w:r w:rsidRPr="00606A6B">
              <w:rPr>
                <w:sz w:val="16"/>
                <w:szCs w:val="16"/>
              </w:rPr>
              <w:t xml:space="preserve">Samtal med HR </w:t>
            </w:r>
            <w:r w:rsidR="005E13F3" w:rsidRPr="00606A6B">
              <w:rPr>
                <w:sz w:val="16"/>
                <w:szCs w:val="16"/>
              </w:rPr>
              <w:t>och anställda</w:t>
            </w:r>
            <w:r w:rsidR="008E7008" w:rsidRPr="00606A6B">
              <w:rPr>
                <w:sz w:val="16"/>
                <w:szCs w:val="16"/>
              </w:rPr>
              <w:t>.</w:t>
            </w:r>
          </w:p>
        </w:tc>
        <w:tc>
          <w:tcPr>
            <w:tcW w:w="3226" w:type="dxa"/>
          </w:tcPr>
          <w:p w14:paraId="6499C5A6" w14:textId="77777777" w:rsidR="00EF3A35" w:rsidRPr="00606A6B" w:rsidRDefault="00EF3A35" w:rsidP="006E5857">
            <w:pPr>
              <w:autoSpaceDE w:val="0"/>
              <w:autoSpaceDN w:val="0"/>
              <w:adjustRightInd w:val="0"/>
              <w:spacing w:after="0"/>
              <w:rPr>
                <w:sz w:val="16"/>
                <w:szCs w:val="16"/>
              </w:rPr>
            </w:pPr>
            <w:r w:rsidRPr="00606A6B">
              <w:rPr>
                <w:sz w:val="16"/>
                <w:szCs w:val="16"/>
              </w:rPr>
              <w:t>Att vi följer gällande lagstiftning.</w:t>
            </w:r>
          </w:p>
        </w:tc>
      </w:tr>
      <w:tr w:rsidR="00AF6360" w:rsidRPr="00606A6B" w14:paraId="361AA268" w14:textId="77777777" w:rsidTr="006E5857">
        <w:tc>
          <w:tcPr>
            <w:tcW w:w="1824" w:type="dxa"/>
          </w:tcPr>
          <w:p w14:paraId="10CEADC3" w14:textId="77777777" w:rsidR="00B343ED" w:rsidRPr="00606A6B" w:rsidRDefault="00FF74CD" w:rsidP="006E5857">
            <w:pPr>
              <w:autoSpaceDE w:val="0"/>
              <w:autoSpaceDN w:val="0"/>
              <w:adjustRightInd w:val="0"/>
              <w:spacing w:after="0"/>
              <w:rPr>
                <w:sz w:val="16"/>
                <w:szCs w:val="16"/>
              </w:rPr>
            </w:pPr>
            <w:r w:rsidRPr="00606A6B">
              <w:rPr>
                <w:sz w:val="16"/>
                <w:szCs w:val="16"/>
              </w:rPr>
              <w:t>Frivillig</w:t>
            </w:r>
            <w:r w:rsidR="00775D13" w:rsidRPr="00606A6B">
              <w:rPr>
                <w:sz w:val="16"/>
                <w:szCs w:val="16"/>
              </w:rPr>
              <w:t>organisationer</w:t>
            </w:r>
          </w:p>
          <w:p w14:paraId="63ECC7DC" w14:textId="77777777" w:rsidR="00AF6360" w:rsidRPr="00606A6B" w:rsidRDefault="00AF6360" w:rsidP="006E5857">
            <w:pPr>
              <w:autoSpaceDE w:val="0"/>
              <w:autoSpaceDN w:val="0"/>
              <w:adjustRightInd w:val="0"/>
              <w:spacing w:after="0"/>
              <w:rPr>
                <w:sz w:val="16"/>
                <w:szCs w:val="16"/>
              </w:rPr>
            </w:pPr>
          </w:p>
        </w:tc>
        <w:tc>
          <w:tcPr>
            <w:tcW w:w="3878" w:type="dxa"/>
          </w:tcPr>
          <w:p w14:paraId="0DBC41B4" w14:textId="77777777" w:rsidR="00565A6A" w:rsidRPr="00606A6B" w:rsidRDefault="00565A6A" w:rsidP="006E5857">
            <w:pPr>
              <w:autoSpaceDE w:val="0"/>
              <w:autoSpaceDN w:val="0"/>
              <w:adjustRightInd w:val="0"/>
              <w:spacing w:after="0"/>
              <w:rPr>
                <w:sz w:val="16"/>
                <w:szCs w:val="16"/>
              </w:rPr>
            </w:pPr>
            <w:r w:rsidRPr="00606A6B">
              <w:rPr>
                <w:sz w:val="16"/>
                <w:szCs w:val="16"/>
              </w:rPr>
              <w:t>Deltagande i flera initiativ kring elbilar och möjligheterna kring dessa i framtiden.</w:t>
            </w:r>
          </w:p>
          <w:p w14:paraId="0A3156C2" w14:textId="77777777" w:rsidR="00565A6A" w:rsidRPr="00606A6B" w:rsidRDefault="00565A6A" w:rsidP="006E5857">
            <w:pPr>
              <w:autoSpaceDE w:val="0"/>
              <w:autoSpaceDN w:val="0"/>
              <w:adjustRightInd w:val="0"/>
              <w:spacing w:after="0"/>
              <w:rPr>
                <w:sz w:val="16"/>
                <w:szCs w:val="16"/>
              </w:rPr>
            </w:pPr>
            <w:r w:rsidRPr="00606A6B">
              <w:rPr>
                <w:sz w:val="16"/>
                <w:szCs w:val="16"/>
              </w:rPr>
              <w:t>Dialog med olika branschförbund med syfte att skapa förståelse för Hertz produkt och dess framtida möjligheter.</w:t>
            </w:r>
          </w:p>
          <w:p w14:paraId="21DA0514" w14:textId="77777777" w:rsidR="00AF6360" w:rsidRPr="00606A6B" w:rsidRDefault="00565A6A" w:rsidP="006E5857">
            <w:pPr>
              <w:autoSpaceDE w:val="0"/>
              <w:autoSpaceDN w:val="0"/>
              <w:adjustRightInd w:val="0"/>
              <w:spacing w:after="0"/>
              <w:rPr>
                <w:sz w:val="16"/>
                <w:szCs w:val="16"/>
              </w:rPr>
            </w:pPr>
            <w:r w:rsidRPr="00606A6B">
              <w:rPr>
                <w:sz w:val="16"/>
                <w:szCs w:val="16"/>
              </w:rPr>
              <w:t>Rekryteringsarbete på skolor för att uppmuntra ny kompetens att söka sig till företaget.</w:t>
            </w:r>
          </w:p>
          <w:p w14:paraId="4401975F" w14:textId="77777777" w:rsidR="00AE2D2B" w:rsidRPr="00606A6B" w:rsidRDefault="00E85E53" w:rsidP="006E5857">
            <w:pPr>
              <w:autoSpaceDE w:val="0"/>
              <w:autoSpaceDN w:val="0"/>
              <w:adjustRightInd w:val="0"/>
              <w:spacing w:after="0"/>
              <w:rPr>
                <w:sz w:val="16"/>
                <w:szCs w:val="16"/>
              </w:rPr>
            </w:pPr>
            <w:r w:rsidRPr="00606A6B">
              <w:rPr>
                <w:sz w:val="16"/>
                <w:szCs w:val="16"/>
              </w:rPr>
              <w:t>Samarbeten</w:t>
            </w:r>
            <w:r w:rsidR="00AE2D2B" w:rsidRPr="00606A6B">
              <w:rPr>
                <w:sz w:val="16"/>
                <w:szCs w:val="16"/>
              </w:rPr>
              <w:t xml:space="preserve"> tillsammans med akademin</w:t>
            </w:r>
            <w:r w:rsidR="00A774BE" w:rsidRPr="00606A6B">
              <w:rPr>
                <w:sz w:val="16"/>
                <w:szCs w:val="16"/>
              </w:rPr>
              <w:t>, exempelvis KTH</w:t>
            </w:r>
            <w:r w:rsidR="007E6D0A" w:rsidRPr="00606A6B">
              <w:rPr>
                <w:sz w:val="16"/>
                <w:szCs w:val="16"/>
              </w:rPr>
              <w:t>,</w:t>
            </w:r>
            <w:r w:rsidR="00AE2D2B" w:rsidRPr="00606A6B">
              <w:rPr>
                <w:sz w:val="16"/>
                <w:szCs w:val="16"/>
              </w:rPr>
              <w:t xml:space="preserve"> där vi deltar med teknik och kompetens inom den hållbara resan.</w:t>
            </w:r>
          </w:p>
        </w:tc>
        <w:tc>
          <w:tcPr>
            <w:tcW w:w="3226" w:type="dxa"/>
          </w:tcPr>
          <w:p w14:paraId="0C18FFD1" w14:textId="77777777" w:rsidR="00AF6360" w:rsidRPr="00606A6B" w:rsidRDefault="00BE2F99" w:rsidP="006E5857">
            <w:pPr>
              <w:autoSpaceDE w:val="0"/>
              <w:autoSpaceDN w:val="0"/>
              <w:adjustRightInd w:val="0"/>
              <w:spacing w:after="0"/>
              <w:rPr>
                <w:sz w:val="16"/>
                <w:szCs w:val="16"/>
              </w:rPr>
            </w:pPr>
            <w:r w:rsidRPr="00606A6B">
              <w:rPr>
                <w:sz w:val="16"/>
                <w:szCs w:val="16"/>
              </w:rPr>
              <w:t>Att vi deltar och driver utvecklingen mot det hållbara resandet</w:t>
            </w:r>
          </w:p>
        </w:tc>
      </w:tr>
    </w:tbl>
    <w:p w14:paraId="5BF5EE44" w14:textId="77777777" w:rsidR="009B77BF" w:rsidRPr="00EE4B96" w:rsidRDefault="00EE6160" w:rsidP="005658AE">
      <w:pPr>
        <w:pStyle w:val="Rubrik1"/>
        <w:numPr>
          <w:ilvl w:val="0"/>
          <w:numId w:val="1"/>
        </w:numPr>
        <w:rPr>
          <w:color w:val="000000" w:themeColor="text1"/>
        </w:rPr>
      </w:pPr>
      <w:bookmarkStart w:id="10" w:name="_Toc34657533"/>
      <w:r w:rsidRPr="00EE4B96">
        <w:rPr>
          <w:color w:val="000000" w:themeColor="text1"/>
        </w:rPr>
        <w:t>Våra fokusområden</w:t>
      </w:r>
      <w:bookmarkEnd w:id="10"/>
    </w:p>
    <w:p w14:paraId="04C297D9" w14:textId="77777777" w:rsidR="00EE6160" w:rsidRPr="00EA6971" w:rsidRDefault="00EE6160" w:rsidP="00485594">
      <w:pPr>
        <w:pStyle w:val="Rubrik2"/>
        <w:numPr>
          <w:ilvl w:val="1"/>
          <w:numId w:val="16"/>
        </w:numPr>
        <w:rPr>
          <w:color w:val="000000" w:themeColor="text1"/>
        </w:rPr>
      </w:pPr>
      <w:bookmarkStart w:id="11" w:name="_Toc34657534"/>
      <w:r w:rsidRPr="00EA6971">
        <w:rPr>
          <w:color w:val="000000" w:themeColor="text1"/>
        </w:rPr>
        <w:t>Ekonomiskt ansvar</w:t>
      </w:r>
      <w:bookmarkEnd w:id="11"/>
    </w:p>
    <w:p w14:paraId="38481DF3" w14:textId="77777777" w:rsidR="00485594" w:rsidRPr="00FD770E" w:rsidRDefault="00485594" w:rsidP="00485594">
      <w:pPr>
        <w:autoSpaceDE w:val="0"/>
        <w:autoSpaceDN w:val="0"/>
        <w:adjustRightInd w:val="0"/>
        <w:spacing w:after="0" w:line="240" w:lineRule="auto"/>
        <w:ind w:left="392"/>
      </w:pPr>
      <w:r w:rsidRPr="00FD770E">
        <w:t xml:space="preserve">Bolagets övergripande mål är att vara marknadsledande och med god lönsamhet kunna innefatta miljöhänsyn, socialt ansvar </w:t>
      </w:r>
      <w:r w:rsidR="00FE0368" w:rsidRPr="00FD770E">
        <w:t xml:space="preserve">och </w:t>
      </w:r>
      <w:r w:rsidRPr="00FD770E">
        <w:t xml:space="preserve">hållbarhet i ledarskapet. </w:t>
      </w:r>
    </w:p>
    <w:p w14:paraId="41B1BD02" w14:textId="77777777" w:rsidR="00FE0368" w:rsidRPr="00FD770E" w:rsidRDefault="00FE0368" w:rsidP="00485594">
      <w:pPr>
        <w:autoSpaceDE w:val="0"/>
        <w:autoSpaceDN w:val="0"/>
        <w:adjustRightInd w:val="0"/>
        <w:spacing w:after="0" w:line="240" w:lineRule="auto"/>
        <w:ind w:left="392"/>
      </w:pPr>
    </w:p>
    <w:p w14:paraId="5AACC560" w14:textId="0A9AD493" w:rsidR="00485594" w:rsidRPr="00FD770E" w:rsidRDefault="00677FFB" w:rsidP="00485594">
      <w:pPr>
        <w:autoSpaceDE w:val="0"/>
        <w:autoSpaceDN w:val="0"/>
        <w:adjustRightInd w:val="0"/>
        <w:spacing w:after="0" w:line="240" w:lineRule="auto"/>
        <w:ind w:left="406"/>
      </w:pPr>
      <w:r w:rsidRPr="00FD770E">
        <w:t>FRAC</w:t>
      </w:r>
      <w:r w:rsidR="00485594" w:rsidRPr="00FD770E">
        <w:t xml:space="preserve"> </w:t>
      </w:r>
      <w:r w:rsidR="00CA0504">
        <w:t>ägs</w:t>
      </w:r>
      <w:r w:rsidRPr="00FD770E">
        <w:t xml:space="preserve"> av Volvo Personvagnar Norden AB </w:t>
      </w:r>
      <w:r w:rsidR="00CA0504">
        <w:t>.</w:t>
      </w:r>
      <w:r w:rsidR="00485594" w:rsidRPr="00FD770E">
        <w:t xml:space="preserve"> </w:t>
      </w:r>
      <w:r w:rsidR="00FD770E" w:rsidRPr="00FD770E">
        <w:t>FRAC bestå</w:t>
      </w:r>
      <w:r w:rsidR="008F2C32">
        <w:t>r</w:t>
      </w:r>
      <w:r w:rsidR="00FD770E" w:rsidRPr="00FD770E">
        <w:t xml:space="preserve"> av Hertz och Bilreda.</w:t>
      </w:r>
    </w:p>
    <w:p w14:paraId="311CD0F0" w14:textId="77777777" w:rsidR="00485594" w:rsidRPr="00FD770E" w:rsidRDefault="00485594" w:rsidP="00485594">
      <w:pPr>
        <w:autoSpaceDE w:val="0"/>
        <w:autoSpaceDN w:val="0"/>
        <w:adjustRightInd w:val="0"/>
        <w:spacing w:after="0" w:line="240" w:lineRule="auto"/>
      </w:pPr>
    </w:p>
    <w:p w14:paraId="14B478EE" w14:textId="24295E5D" w:rsidR="004B5550" w:rsidRPr="004B5550" w:rsidRDefault="00FD770E" w:rsidP="004B5550">
      <w:pPr>
        <w:ind w:left="406"/>
        <w:rPr>
          <w:color w:val="000000" w:themeColor="text1"/>
        </w:rPr>
      </w:pPr>
      <w:r w:rsidRPr="00FD770E">
        <w:t xml:space="preserve">Det nya </w:t>
      </w:r>
      <w:r w:rsidR="00EA699E" w:rsidRPr="00FD770E">
        <w:t>ekonomisystem</w:t>
      </w:r>
      <w:r w:rsidRPr="00FD770E">
        <w:t>et</w:t>
      </w:r>
      <w:r w:rsidR="00A774BE" w:rsidRPr="00FD770E">
        <w:t xml:space="preserve"> för Norge, Danmark och Sverige</w:t>
      </w:r>
      <w:r w:rsidR="00EA699E" w:rsidRPr="00FD770E">
        <w:t xml:space="preserve"> </w:t>
      </w:r>
      <w:r w:rsidRPr="00FD770E">
        <w:t xml:space="preserve">är nu </w:t>
      </w:r>
      <w:r w:rsidR="007A7000" w:rsidRPr="00FD770E">
        <w:t>implementer</w:t>
      </w:r>
      <w:r w:rsidRPr="00FD770E">
        <w:t>at</w:t>
      </w:r>
      <w:r w:rsidR="007A7000" w:rsidRPr="00FD770E">
        <w:t xml:space="preserve"> </w:t>
      </w:r>
      <w:r w:rsidRPr="00FD770E">
        <w:t xml:space="preserve">i </w:t>
      </w:r>
      <w:r w:rsidR="004B5550">
        <w:t>norden</w:t>
      </w:r>
      <w:r w:rsidR="007A7000" w:rsidRPr="00FD770E">
        <w:t xml:space="preserve">. </w:t>
      </w:r>
      <w:r w:rsidR="004B5550" w:rsidRPr="004B5550">
        <w:rPr>
          <w:color w:val="000000" w:themeColor="text1"/>
        </w:rPr>
        <w:t xml:space="preserve">Samtliga länder har </w:t>
      </w:r>
      <w:r w:rsidR="00A078BA">
        <w:rPr>
          <w:color w:val="000000" w:themeColor="text1"/>
        </w:rPr>
        <w:t xml:space="preserve">fortfarande </w:t>
      </w:r>
      <w:r w:rsidR="004B5550" w:rsidRPr="004B5550">
        <w:rPr>
          <w:color w:val="000000" w:themeColor="text1"/>
        </w:rPr>
        <w:t>kvar två moduler a</w:t>
      </w:r>
      <w:r w:rsidR="00A53479">
        <w:rPr>
          <w:color w:val="000000" w:themeColor="text1"/>
        </w:rPr>
        <w:t xml:space="preserve">tt implementera </w:t>
      </w:r>
      <w:r w:rsidR="00A078BA">
        <w:rPr>
          <w:color w:val="000000" w:themeColor="text1"/>
        </w:rPr>
        <w:t>under 2020</w:t>
      </w:r>
      <w:r w:rsidR="004B5550" w:rsidRPr="004B5550">
        <w:rPr>
          <w:color w:val="000000" w:themeColor="text1"/>
        </w:rPr>
        <w:t xml:space="preserve"> och det är inköpsmodul och budgetmodul.</w:t>
      </w:r>
      <w:r w:rsidR="00A078BA">
        <w:rPr>
          <w:color w:val="000000" w:themeColor="text1"/>
        </w:rPr>
        <w:t xml:space="preserve"> Dessa genomfördes inte under föregående år.</w:t>
      </w:r>
    </w:p>
    <w:p w14:paraId="7C1AB0E4" w14:textId="77777777" w:rsidR="00EE6160" w:rsidRPr="00EA6971" w:rsidRDefault="00EE6160" w:rsidP="00485594">
      <w:pPr>
        <w:pStyle w:val="Rubrik2"/>
        <w:numPr>
          <w:ilvl w:val="1"/>
          <w:numId w:val="16"/>
        </w:numPr>
        <w:rPr>
          <w:color w:val="000000" w:themeColor="text1"/>
        </w:rPr>
      </w:pPr>
      <w:bookmarkStart w:id="12" w:name="_Toc34657535"/>
      <w:r w:rsidRPr="00EA6971">
        <w:rPr>
          <w:color w:val="000000" w:themeColor="text1"/>
        </w:rPr>
        <w:t>Miljöansvar</w:t>
      </w:r>
      <w:bookmarkEnd w:id="12"/>
    </w:p>
    <w:p w14:paraId="27010EF8" w14:textId="3A823FBF" w:rsidR="00E24194" w:rsidRPr="00D02AB1" w:rsidRDefault="00677FFB" w:rsidP="00BE5637">
      <w:pPr>
        <w:spacing w:after="0" w:line="240" w:lineRule="auto"/>
        <w:ind w:left="380"/>
      </w:pPr>
      <w:r w:rsidRPr="00D02AB1">
        <w:t>FRAC</w:t>
      </w:r>
      <w:r w:rsidR="007E6D0A" w:rsidRPr="00D02AB1">
        <w:t>:</w:t>
      </w:r>
      <w:r w:rsidRPr="00D02AB1">
        <w:t>s</w:t>
      </w:r>
      <w:r w:rsidR="00EA699E" w:rsidRPr="00D02AB1">
        <w:t xml:space="preserve"> </w:t>
      </w:r>
      <w:r w:rsidR="00512694" w:rsidRPr="00D02AB1">
        <w:t xml:space="preserve">långsiktiga </w:t>
      </w:r>
      <w:r w:rsidR="00EA699E" w:rsidRPr="00D02AB1">
        <w:t>miljömål sträcker sig fram till 20</w:t>
      </w:r>
      <w:r w:rsidR="00512694" w:rsidRPr="00D02AB1">
        <w:t>4</w:t>
      </w:r>
      <w:r w:rsidR="00EA699E" w:rsidRPr="00D02AB1">
        <w:t>0 och delas upp</w:t>
      </w:r>
      <w:r w:rsidR="0053354D" w:rsidRPr="00D02AB1">
        <w:t xml:space="preserve"> i två områden: intern påverkan och </w:t>
      </w:r>
      <w:r w:rsidR="00EA699E" w:rsidRPr="00D02AB1">
        <w:t>fordonsflottans påverkan.</w:t>
      </w:r>
      <w:r w:rsidR="00512694" w:rsidRPr="00D02AB1">
        <w:t xml:space="preserve"> Det långsiktiga målet har sedan brutits ned i hållbarhetsmål </w:t>
      </w:r>
      <w:r w:rsidR="00382518" w:rsidRPr="00D02AB1">
        <w:t xml:space="preserve">som </w:t>
      </w:r>
      <w:r w:rsidR="00512694" w:rsidRPr="00D02AB1">
        <w:t xml:space="preserve">sträcker sig till </w:t>
      </w:r>
      <w:r w:rsidR="00382518" w:rsidRPr="00D02AB1">
        <w:t xml:space="preserve">år </w:t>
      </w:r>
      <w:r w:rsidR="00A078BA">
        <w:t>2020</w:t>
      </w:r>
      <w:r w:rsidR="00512694" w:rsidRPr="00D02AB1">
        <w:t>.</w:t>
      </w:r>
      <w:r w:rsidR="00A078BA">
        <w:t xml:space="preserve"> Då vi nu är i 2020 så blir nytt fokus 2030.</w:t>
      </w:r>
      <w:r w:rsidR="00512694" w:rsidRPr="00D02AB1">
        <w:t xml:space="preserve"> </w:t>
      </w:r>
      <w:r w:rsidR="004929DB" w:rsidRPr="00D02AB1">
        <w:br/>
      </w:r>
    </w:p>
    <w:p w14:paraId="6EA8088C" w14:textId="77777777" w:rsidR="00E24194" w:rsidRPr="00D02AB1" w:rsidRDefault="00677FFB" w:rsidP="00BE5637">
      <w:pPr>
        <w:spacing w:after="0" w:line="240" w:lineRule="auto"/>
        <w:ind w:left="380"/>
      </w:pPr>
      <w:r w:rsidRPr="00D02AB1">
        <w:t>FRAC</w:t>
      </w:r>
      <w:r w:rsidR="007E6D0A" w:rsidRPr="00D02AB1">
        <w:t>:</w:t>
      </w:r>
      <w:r w:rsidRPr="00D02AB1">
        <w:t>s</w:t>
      </w:r>
      <w:r w:rsidR="00E24194" w:rsidRPr="00D02AB1">
        <w:t xml:space="preserve"> verksamhet påverkar miljön via de interna aktiviteterna, såsom transporter, resor, inköp, uppvärmning och elanvändning. Företagets största miljöpåverkan är dock kopplad till de produkter och tjänster som </w:t>
      </w:r>
      <w:r w:rsidR="00415FD9" w:rsidRPr="00D02AB1">
        <w:t xml:space="preserve">Hertz </w:t>
      </w:r>
      <w:r w:rsidR="007E6D0A" w:rsidRPr="00D02AB1">
        <w:t>levererar</w:t>
      </w:r>
      <w:r w:rsidR="00E24194" w:rsidRPr="00D02AB1">
        <w:t xml:space="preserve">. Uthyrning av bilar innebär en stor miljöpåverkan, framför allt genom energianvändning och utsläpp till luft i form av </w:t>
      </w:r>
      <w:r w:rsidRPr="00D02AB1">
        <w:t>koldioxid och andra ämnen. FRAC</w:t>
      </w:r>
      <w:r w:rsidR="00E24194" w:rsidRPr="00D02AB1">
        <w:t xml:space="preserve"> arbetar därför aktivt med att minska både den interna miljöpåverkan och påverkan från produkter och tjänster.</w:t>
      </w:r>
    </w:p>
    <w:p w14:paraId="3F5CD580" w14:textId="77777777" w:rsidR="00382518" w:rsidRPr="00D02AB1" w:rsidRDefault="00382518" w:rsidP="00BE5637">
      <w:pPr>
        <w:spacing w:after="0" w:line="240" w:lineRule="auto"/>
        <w:ind w:left="380"/>
      </w:pPr>
    </w:p>
    <w:p w14:paraId="6777660A" w14:textId="54B41656" w:rsidR="00E24194" w:rsidRPr="00D02AB1" w:rsidRDefault="00E24194" w:rsidP="00D47E61">
      <w:pPr>
        <w:autoSpaceDE w:val="0"/>
        <w:autoSpaceDN w:val="0"/>
        <w:adjustRightInd w:val="0"/>
        <w:spacing w:after="0" w:line="240" w:lineRule="auto"/>
        <w:ind w:firstLine="378"/>
        <w:jc w:val="both"/>
      </w:pPr>
      <w:r w:rsidRPr="00D02AB1">
        <w:t xml:space="preserve">Under </w:t>
      </w:r>
      <w:r w:rsidR="003E7095" w:rsidRPr="00D02AB1">
        <w:t>perioden 2007</w:t>
      </w:r>
      <w:r w:rsidRPr="00D02AB1">
        <w:t xml:space="preserve"> till 20</w:t>
      </w:r>
      <w:r w:rsidR="00A078BA">
        <w:t>30</w:t>
      </w:r>
      <w:r w:rsidRPr="00D02AB1">
        <w:t xml:space="preserve"> ligger huvudfokus</w:t>
      </w:r>
      <w:r w:rsidR="00A078BA">
        <w:t xml:space="preserve"> fortsatt</w:t>
      </w:r>
      <w:r w:rsidRPr="00D02AB1">
        <w:t xml:space="preserve"> på:</w:t>
      </w:r>
    </w:p>
    <w:p w14:paraId="6A9285F7" w14:textId="77777777" w:rsidR="00E24194" w:rsidRPr="00D02AB1" w:rsidRDefault="00E24194" w:rsidP="0053354D">
      <w:pPr>
        <w:autoSpaceDE w:val="0"/>
        <w:autoSpaceDN w:val="0"/>
        <w:adjustRightInd w:val="0"/>
        <w:spacing w:after="0" w:line="240" w:lineRule="auto"/>
        <w:ind w:firstLine="378"/>
        <w:jc w:val="both"/>
      </w:pPr>
      <w:r w:rsidRPr="00D02AB1">
        <w:lastRenderedPageBreak/>
        <w:t>• att minska utsläpp av fossil koldioxid från fordonsflottan</w:t>
      </w:r>
    </w:p>
    <w:p w14:paraId="122A49FF" w14:textId="77777777" w:rsidR="00E24194" w:rsidRPr="00EA6971" w:rsidRDefault="00E24194" w:rsidP="0053354D">
      <w:pPr>
        <w:autoSpaceDE w:val="0"/>
        <w:autoSpaceDN w:val="0"/>
        <w:adjustRightInd w:val="0"/>
        <w:spacing w:after="0" w:line="240" w:lineRule="auto"/>
        <w:ind w:firstLine="360"/>
        <w:jc w:val="both"/>
      </w:pPr>
      <w:r w:rsidRPr="00D02AB1">
        <w:t>• att minska energiförbrukningen i den egna verksamheten</w:t>
      </w:r>
      <w:r w:rsidR="00382518" w:rsidRPr="00D02AB1">
        <w:t>.</w:t>
      </w:r>
    </w:p>
    <w:p w14:paraId="7B657960" w14:textId="77777777" w:rsidR="00E24194" w:rsidRPr="00EA6971" w:rsidRDefault="00E24194" w:rsidP="00E24194">
      <w:pPr>
        <w:autoSpaceDE w:val="0"/>
        <w:autoSpaceDN w:val="0"/>
        <w:adjustRightInd w:val="0"/>
        <w:spacing w:after="0" w:line="240" w:lineRule="auto"/>
        <w:jc w:val="both"/>
      </w:pPr>
    </w:p>
    <w:p w14:paraId="7EEE4B7C" w14:textId="77777777" w:rsidR="00DE30F3" w:rsidRPr="00EA6971" w:rsidRDefault="0053354D" w:rsidP="00485594">
      <w:pPr>
        <w:pStyle w:val="Rubrik3"/>
        <w:numPr>
          <w:ilvl w:val="2"/>
          <w:numId w:val="16"/>
        </w:numPr>
        <w:ind w:left="1064"/>
        <w:rPr>
          <w:color w:val="auto"/>
        </w:rPr>
      </w:pPr>
      <w:bookmarkStart w:id="13" w:name="_Toc34657536"/>
      <w:r w:rsidRPr="00EA6971">
        <w:rPr>
          <w:color w:val="auto"/>
        </w:rPr>
        <w:t>Miljömål</w:t>
      </w:r>
      <w:bookmarkEnd w:id="13"/>
      <w:r w:rsidRPr="00EA6971">
        <w:rPr>
          <w:color w:val="auto"/>
        </w:rPr>
        <w:t xml:space="preserve"> </w:t>
      </w:r>
    </w:p>
    <w:p w14:paraId="12D2EA0F" w14:textId="35A5EBEA" w:rsidR="0028531F" w:rsidRPr="0028531F" w:rsidRDefault="00A078BA" w:rsidP="00382518">
      <w:pPr>
        <w:autoSpaceDE w:val="0"/>
        <w:autoSpaceDN w:val="0"/>
        <w:adjustRightInd w:val="0"/>
        <w:spacing w:after="0" w:line="240" w:lineRule="auto"/>
        <w:ind w:left="360"/>
      </w:pPr>
      <w:r>
        <w:t>Hertz mål för hyrbilsflotta inklusive</w:t>
      </w:r>
      <w:r w:rsidR="00DE30F3" w:rsidRPr="004B5550">
        <w:t xml:space="preserve"> skåpbilar och minibussar, är uppdelat i flera s</w:t>
      </w:r>
      <w:r w:rsidR="0053354D" w:rsidRPr="004B5550">
        <w:t>teg</w:t>
      </w:r>
      <w:r w:rsidR="00BE5637" w:rsidRPr="004B5550">
        <w:t>. F</w:t>
      </w:r>
      <w:r>
        <w:t>ör år 2019</w:t>
      </w:r>
      <w:r w:rsidR="0053354D" w:rsidRPr="004B5550">
        <w:t xml:space="preserve"> gäller </w:t>
      </w:r>
      <w:r w:rsidR="0053354D" w:rsidRPr="0028531F">
        <w:t>1</w:t>
      </w:r>
      <w:r w:rsidR="00E531CC">
        <w:t>23/124</w:t>
      </w:r>
      <w:r w:rsidR="00382518" w:rsidRPr="0028531F">
        <w:t xml:space="preserve"> </w:t>
      </w:r>
      <w:r w:rsidR="0053354D" w:rsidRPr="0028531F">
        <w:t>g</w:t>
      </w:r>
      <w:r w:rsidR="00382518" w:rsidRPr="0028531F">
        <w:t>ram</w:t>
      </w:r>
      <w:r w:rsidR="0053354D" w:rsidRPr="0028531F">
        <w:t xml:space="preserve"> CO</w:t>
      </w:r>
      <w:r w:rsidR="0053354D" w:rsidRPr="0028531F">
        <w:rPr>
          <w:vertAlign w:val="subscript"/>
        </w:rPr>
        <w:t>2</w:t>
      </w:r>
      <w:r w:rsidR="006A667F" w:rsidRPr="0028531F">
        <w:t xml:space="preserve"> per </w:t>
      </w:r>
      <w:r w:rsidR="0053354D" w:rsidRPr="0028531F">
        <w:t>k</w:t>
      </w:r>
      <w:r w:rsidR="00382518" w:rsidRPr="0028531F">
        <w:t>ilo</w:t>
      </w:r>
      <w:r w:rsidR="0053354D" w:rsidRPr="0028531F">
        <w:t>m</w:t>
      </w:r>
      <w:r w:rsidR="00382518" w:rsidRPr="0028531F">
        <w:t>eter</w:t>
      </w:r>
      <w:r w:rsidR="0053354D" w:rsidRPr="0028531F">
        <w:t xml:space="preserve"> i en fallande skala till </w:t>
      </w:r>
      <w:r w:rsidR="00382518" w:rsidRPr="0028531F">
        <w:t xml:space="preserve">år </w:t>
      </w:r>
      <w:r w:rsidR="0053354D" w:rsidRPr="0028531F">
        <w:t>2040 då vi har en nollvision</w:t>
      </w:r>
      <w:r w:rsidR="00DE30F3" w:rsidRPr="0028531F">
        <w:t xml:space="preserve">. För </w:t>
      </w:r>
      <w:r w:rsidR="00382518" w:rsidRPr="0028531F">
        <w:t xml:space="preserve">år </w:t>
      </w:r>
      <w:r>
        <w:t>20</w:t>
      </w:r>
      <w:r w:rsidR="00E531CC">
        <w:t>1</w:t>
      </w:r>
      <w:r>
        <w:t>9</w:t>
      </w:r>
      <w:r w:rsidR="00DE30F3" w:rsidRPr="0028531F">
        <w:t xml:space="preserve"> </w:t>
      </w:r>
      <w:r w:rsidR="0053354D" w:rsidRPr="0028531F">
        <w:t>blev</w:t>
      </w:r>
      <w:r w:rsidR="0075266B" w:rsidRPr="0028531F">
        <w:t xml:space="preserve"> utfallet</w:t>
      </w:r>
      <w:r w:rsidR="004D621C" w:rsidRPr="0028531F">
        <w:t xml:space="preserve"> för Hertz </w:t>
      </w:r>
      <w:r w:rsidR="00E531CC">
        <w:t>124,6/125,9</w:t>
      </w:r>
      <w:r w:rsidR="00DE30F3" w:rsidRPr="0028531F">
        <w:t xml:space="preserve"> g</w:t>
      </w:r>
      <w:r w:rsidR="00382518" w:rsidRPr="0028531F">
        <w:t>ram</w:t>
      </w:r>
      <w:r w:rsidR="0053354D" w:rsidRPr="0028531F">
        <w:t xml:space="preserve"> CO</w:t>
      </w:r>
      <w:r w:rsidR="0053354D" w:rsidRPr="0028531F">
        <w:rPr>
          <w:vertAlign w:val="subscript"/>
        </w:rPr>
        <w:t>2</w:t>
      </w:r>
      <w:r w:rsidR="006A667F" w:rsidRPr="0028531F">
        <w:t xml:space="preserve"> per </w:t>
      </w:r>
      <w:r w:rsidR="0053354D" w:rsidRPr="0028531F">
        <w:t>k</w:t>
      </w:r>
      <w:r w:rsidR="00382518" w:rsidRPr="0028531F">
        <w:t>ilo</w:t>
      </w:r>
      <w:r w:rsidR="0053354D" w:rsidRPr="0028531F">
        <w:t>m</w:t>
      </w:r>
      <w:r w:rsidR="00382518" w:rsidRPr="0028531F">
        <w:t>eter</w:t>
      </w:r>
      <w:r w:rsidR="00DE30F3" w:rsidRPr="0028531F">
        <w:t xml:space="preserve">. </w:t>
      </w:r>
      <w:r w:rsidR="00E531CC">
        <w:t>Under 2019</w:t>
      </w:r>
      <w:r w:rsidR="00677FFB" w:rsidRPr="0028531F">
        <w:t xml:space="preserve"> </w:t>
      </w:r>
      <w:r w:rsidR="004D621C" w:rsidRPr="0028531F">
        <w:t>ser vi att motoralternati</w:t>
      </w:r>
      <w:r w:rsidR="0028531F" w:rsidRPr="0028531F">
        <w:t>v och flottsammansättning varit sådan att den gett ökade CO2-utsläpp</w:t>
      </w:r>
      <w:r w:rsidR="0028531F">
        <w:t xml:space="preserve"> jämfört</w:t>
      </w:r>
      <w:r w:rsidR="00CA0504">
        <w:t xml:space="preserve"> med</w:t>
      </w:r>
      <w:r w:rsidR="0028531F">
        <w:t xml:space="preserve"> föregående år</w:t>
      </w:r>
      <w:r w:rsidR="004D621C" w:rsidRPr="0028531F">
        <w:t>.</w:t>
      </w:r>
      <w:r w:rsidR="0028531F" w:rsidRPr="0028531F">
        <w:t xml:space="preserve"> Vi har en större andel stora fordon för längre transporter då detta efterfrågas av våra kunder. Vi har under året även ökat andelen elhybrider/mildhybrider och rena elbilar. Dessa är dock fortfarande för få i förhållande till övriga flottan för att göra avtryck i</w:t>
      </w:r>
      <w:r w:rsidR="00E531CC">
        <w:t xml:space="preserve"> vårt totala utsläpp. Den nya körcykeln WLTP ger </w:t>
      </w:r>
      <w:r w:rsidR="00C25E8F">
        <w:t>negativa</w:t>
      </w:r>
      <w:r w:rsidR="003B23CE">
        <w:t xml:space="preserve"> effekter på våra utsläpp</w:t>
      </w:r>
      <w:r w:rsidR="00C25E8F">
        <w:t>snivåer.</w:t>
      </w:r>
      <w:r w:rsidR="00E531CC">
        <w:t xml:space="preserve"> </w:t>
      </w:r>
    </w:p>
    <w:p w14:paraId="32B7DAE4" w14:textId="2D920845" w:rsidR="00E24194" w:rsidRDefault="00850870" w:rsidP="0028531F">
      <w:pPr>
        <w:autoSpaceDE w:val="0"/>
        <w:autoSpaceDN w:val="0"/>
        <w:adjustRightInd w:val="0"/>
        <w:spacing w:after="0" w:line="240" w:lineRule="auto"/>
        <w:ind w:left="360"/>
      </w:pPr>
      <w:r w:rsidRPr="0028531F">
        <w:t xml:space="preserve">När FRAC en gång i tiden satte sina långsiktiga mål så antogs att det att etanol skulle vara ett av de bränslen som </w:t>
      </w:r>
      <w:r w:rsidR="00A45177" w:rsidRPr="0028531F">
        <w:t>i fortsättningen</w:t>
      </w:r>
      <w:r w:rsidRPr="0028531F">
        <w:t xml:space="preserve"> skulle ingå. Detta bränsle har nästintill utgått och idag </w:t>
      </w:r>
      <w:r w:rsidR="00A45177" w:rsidRPr="0028531F">
        <w:t>kommer istället</w:t>
      </w:r>
      <w:r w:rsidRPr="0028531F">
        <w:t xml:space="preserve"> elbilar/hybr</w:t>
      </w:r>
      <w:r w:rsidR="00E531CC">
        <w:t xml:space="preserve">ider. Detta gör också att FRAC har </w:t>
      </w:r>
      <w:r w:rsidRPr="0028531F">
        <w:t>se</w:t>
      </w:r>
      <w:r w:rsidR="00E531CC">
        <w:t>tt</w:t>
      </w:r>
      <w:r w:rsidRPr="0028531F">
        <w:t xml:space="preserve"> över målen som satt</w:t>
      </w:r>
      <w:r w:rsidR="00E531CC">
        <w:t>es en gång i tiden</w:t>
      </w:r>
      <w:r w:rsidR="00A45177" w:rsidRPr="0028531F">
        <w:t>,</w:t>
      </w:r>
      <w:r w:rsidRPr="0028531F">
        <w:t xml:space="preserve"> som utifrån dagens tekniker och tillgängliga fordon </w:t>
      </w:r>
      <w:r w:rsidR="00A45177" w:rsidRPr="0028531F">
        <w:t xml:space="preserve">inte </w:t>
      </w:r>
      <w:r w:rsidRPr="0028531F">
        <w:t>kommer vara nåbara.</w:t>
      </w:r>
      <w:r w:rsidR="0091435E" w:rsidRPr="0028531F">
        <w:t xml:space="preserve"> </w:t>
      </w:r>
    </w:p>
    <w:p w14:paraId="5653F996" w14:textId="77777777" w:rsidR="00E531CC" w:rsidRPr="00EA6971" w:rsidRDefault="00E531CC" w:rsidP="0028531F">
      <w:pPr>
        <w:autoSpaceDE w:val="0"/>
        <w:autoSpaceDN w:val="0"/>
        <w:adjustRightInd w:val="0"/>
        <w:spacing w:after="0" w:line="240" w:lineRule="auto"/>
        <w:ind w:left="360"/>
      </w:pPr>
    </w:p>
    <w:p w14:paraId="52553BB0" w14:textId="472CA698" w:rsidR="00DE30F3" w:rsidRPr="00EA6971" w:rsidRDefault="0053354D" w:rsidP="00E465A4">
      <w:pPr>
        <w:autoSpaceDE w:val="0"/>
        <w:autoSpaceDN w:val="0"/>
        <w:adjustRightInd w:val="0"/>
        <w:spacing w:after="0" w:line="240" w:lineRule="auto"/>
        <w:ind w:left="360"/>
      </w:pPr>
      <w:r w:rsidRPr="0028531F">
        <w:t>Koncernens</w:t>
      </w:r>
      <w:r w:rsidR="00E24194" w:rsidRPr="0028531F">
        <w:t xml:space="preserve"> verksamhet bidrar</w:t>
      </w:r>
      <w:r w:rsidR="00BE5637" w:rsidRPr="0028531F">
        <w:t xml:space="preserve"> också</w:t>
      </w:r>
      <w:r w:rsidR="00E24194" w:rsidRPr="0028531F">
        <w:t xml:space="preserve"> indirekt till ett antal positiva effekter ur miljösynpunkt. Genom att </w:t>
      </w:r>
      <w:r w:rsidR="00E531CC">
        <w:t xml:space="preserve">ha miljöbilar i hyrbilsflottan </w:t>
      </w:r>
      <w:r w:rsidR="00E24194" w:rsidRPr="0028531F">
        <w:t xml:space="preserve">kan koldioxidutsläppen minska jämfört med om resan skett i ett svenskt genomsnittsfordon. </w:t>
      </w:r>
      <w:r w:rsidR="00382518" w:rsidRPr="0028531F">
        <w:t>Genom vår</w:t>
      </w:r>
      <w:r w:rsidR="00E24194" w:rsidRPr="0028531F">
        <w:t xml:space="preserve"> verksamhet erbjuds också allmänheten möjlighet att prova olika typer av bilar, till exempel bilar som drivs med förnyelsebara bränslen, innan de bestämmer sig för </w:t>
      </w:r>
      <w:r w:rsidRPr="0028531F">
        <w:t>att köpa</w:t>
      </w:r>
      <w:r w:rsidR="006D2AC7" w:rsidRPr="0028531F">
        <w:t xml:space="preserve"> bil</w:t>
      </w:r>
      <w:r w:rsidRPr="0028531F">
        <w:t>. Att vi</w:t>
      </w:r>
      <w:r w:rsidR="00E24194" w:rsidRPr="0028531F">
        <w:t xml:space="preserve"> erbjuder en stor bredd av bilmodeller och storlekar innebär att fler personer kan äga en mindre bil och hyra en större vid de tillfällen då en större bil är att föredra. Med smarta tjänster och produkter kan </w:t>
      </w:r>
      <w:r w:rsidRPr="0028531F">
        <w:t>vi</w:t>
      </w:r>
      <w:r w:rsidR="00E24194" w:rsidRPr="0028531F">
        <w:t xml:space="preserve"> erbjuda ett </w:t>
      </w:r>
      <w:r w:rsidR="00E465A4" w:rsidRPr="0028531F">
        <w:t>alternativ till att äga fordon.</w:t>
      </w:r>
      <w:r w:rsidR="00DE30F3" w:rsidRPr="0028531F">
        <w:t xml:space="preserve"> Många gånger ersätter </w:t>
      </w:r>
      <w:r w:rsidR="00A774BE" w:rsidRPr="0028531F">
        <w:t xml:space="preserve">hyrbil </w:t>
      </w:r>
      <w:r w:rsidR="00DE30F3" w:rsidRPr="0028531F">
        <w:t>delar av ett företags behov av tjänstebilar, samtidigt som privatpersoner ges möjlighet att utnyttja fordonen på kvällar och helger</w:t>
      </w:r>
      <w:r w:rsidR="00E531CC">
        <w:t>.</w:t>
      </w:r>
    </w:p>
    <w:p w14:paraId="2ADFA721" w14:textId="77777777" w:rsidR="00682608" w:rsidRPr="00EA6971" w:rsidRDefault="00682608" w:rsidP="00E465A4">
      <w:pPr>
        <w:autoSpaceDE w:val="0"/>
        <w:autoSpaceDN w:val="0"/>
        <w:adjustRightInd w:val="0"/>
        <w:spacing w:after="0" w:line="240" w:lineRule="auto"/>
        <w:ind w:left="360"/>
      </w:pPr>
    </w:p>
    <w:p w14:paraId="611B6ECF" w14:textId="56309B2D" w:rsidR="00E24194" w:rsidRPr="00EA6971" w:rsidRDefault="00E24194" w:rsidP="00485594">
      <w:pPr>
        <w:pStyle w:val="Rubrik3"/>
        <w:numPr>
          <w:ilvl w:val="2"/>
          <w:numId w:val="16"/>
        </w:numPr>
        <w:ind w:left="1092"/>
        <w:rPr>
          <w:color w:val="auto"/>
        </w:rPr>
      </w:pPr>
      <w:bookmarkStart w:id="14" w:name="_Toc34657537"/>
      <w:r w:rsidRPr="00EA6971">
        <w:rPr>
          <w:color w:val="auto"/>
        </w:rPr>
        <w:t>Internt miljöarbete</w:t>
      </w:r>
      <w:bookmarkEnd w:id="14"/>
    </w:p>
    <w:p w14:paraId="7476E286" w14:textId="77777777" w:rsidR="00E24194" w:rsidRPr="003B23CE" w:rsidRDefault="00E24194" w:rsidP="00BE5637">
      <w:pPr>
        <w:autoSpaceDE w:val="0"/>
        <w:autoSpaceDN w:val="0"/>
        <w:adjustRightInd w:val="0"/>
        <w:spacing w:after="0" w:line="240" w:lineRule="auto"/>
        <w:ind w:left="360"/>
      </w:pPr>
      <w:r w:rsidRPr="003B23CE">
        <w:t>Hertz interna miljöarbete har fokus på minskning av koldioxidutsläppen från den egna verksamheten</w:t>
      </w:r>
      <w:r w:rsidR="009F029A" w:rsidRPr="003B23CE">
        <w:t xml:space="preserve"> och intern energianvändning</w:t>
      </w:r>
      <w:r w:rsidRPr="003B23CE">
        <w:t>. Den interna energianvändningen och källorna till utsläpp består</w:t>
      </w:r>
      <w:r w:rsidR="00850870" w:rsidRPr="003B23CE">
        <w:t xml:space="preserve"> </w:t>
      </w:r>
      <w:r w:rsidR="005D4173" w:rsidRPr="003B23CE">
        <w:t>av</w:t>
      </w:r>
      <w:r w:rsidRPr="003B23CE">
        <w:t xml:space="preserve"> uppvärmning och elanvändning, interna transporter </w:t>
      </w:r>
      <w:r w:rsidR="0002587B" w:rsidRPr="003B23CE">
        <w:t xml:space="preserve">och </w:t>
      </w:r>
      <w:r w:rsidRPr="003B23CE">
        <w:t xml:space="preserve">tjänsteresor. </w:t>
      </w:r>
    </w:p>
    <w:p w14:paraId="0D430387" w14:textId="77777777" w:rsidR="00E531CC" w:rsidRDefault="00E531CC" w:rsidP="00810162">
      <w:pPr>
        <w:autoSpaceDE w:val="0"/>
        <w:autoSpaceDN w:val="0"/>
        <w:adjustRightInd w:val="0"/>
        <w:spacing w:after="0" w:line="240" w:lineRule="auto"/>
        <w:ind w:left="360"/>
      </w:pPr>
    </w:p>
    <w:p w14:paraId="68A8A566" w14:textId="29D84509" w:rsidR="00E531CC" w:rsidRDefault="00681AD6" w:rsidP="00810162">
      <w:pPr>
        <w:autoSpaceDE w:val="0"/>
        <w:autoSpaceDN w:val="0"/>
        <w:adjustRightInd w:val="0"/>
        <w:spacing w:after="0" w:line="240" w:lineRule="auto"/>
        <w:ind w:left="360"/>
      </w:pPr>
      <w:r w:rsidRPr="003B23CE">
        <w:t xml:space="preserve">Vi </w:t>
      </w:r>
      <w:r w:rsidR="003B23CE" w:rsidRPr="003B23CE">
        <w:t>har haft</w:t>
      </w:r>
      <w:r w:rsidR="00E531CC">
        <w:t xml:space="preserve"> HVO-inblandat bränsle som under året skiftats till HVO100</w:t>
      </w:r>
      <w:r w:rsidRPr="003B23CE">
        <w:t xml:space="preserve"> på våra två tankstationer som vi driver i TRIO</w:t>
      </w:r>
      <w:r w:rsidR="0002587B" w:rsidRPr="003B23CE">
        <w:t>:</w:t>
      </w:r>
      <w:r w:rsidRPr="003B23CE">
        <w:t>s regi på Arlanda och Landvetter</w:t>
      </w:r>
      <w:r w:rsidR="0002587B" w:rsidRPr="003B23CE">
        <w:t>,</w:t>
      </w:r>
      <w:r w:rsidRPr="003B23CE">
        <w:t xml:space="preserve"> och som används för upptankning av fordon på dessa </w:t>
      </w:r>
      <w:r w:rsidR="0002587B" w:rsidRPr="003B23CE">
        <w:t>kontor</w:t>
      </w:r>
      <w:r w:rsidRPr="003B23CE">
        <w:t xml:space="preserve">. </w:t>
      </w:r>
      <w:r w:rsidR="00E531CC">
        <w:t>Vi installerade under året sex laddpunkter vardera på våra stationer Odenplan och Mäster Samuelsgatan.</w:t>
      </w:r>
    </w:p>
    <w:p w14:paraId="3062A832" w14:textId="28DE3BC2" w:rsidR="00682608" w:rsidRPr="003B23CE" w:rsidRDefault="003B23CE" w:rsidP="00810162">
      <w:pPr>
        <w:autoSpaceDE w:val="0"/>
        <w:autoSpaceDN w:val="0"/>
        <w:adjustRightInd w:val="0"/>
        <w:spacing w:after="0" w:line="240" w:lineRule="auto"/>
        <w:ind w:left="360"/>
      </w:pPr>
      <w:r>
        <w:t xml:space="preserve">Vi </w:t>
      </w:r>
      <w:r w:rsidR="00E531CC">
        <w:t>planerar att under året söka stöd för att installera 100 nya laddpunkter i vårt nätverk. Under 2019</w:t>
      </w:r>
      <w:r w:rsidR="00681AD6" w:rsidRPr="003B23CE">
        <w:t xml:space="preserve"> så </w:t>
      </w:r>
      <w:r w:rsidRPr="003B23CE">
        <w:t xml:space="preserve">blev alla Hertz </w:t>
      </w:r>
      <w:r w:rsidR="00E531CC">
        <w:t>alla franchise</w:t>
      </w:r>
      <w:r w:rsidRPr="003B23CE">
        <w:t xml:space="preserve">stationer </w:t>
      </w:r>
      <w:r w:rsidR="00681AD6" w:rsidRPr="003B23CE">
        <w:t>digitala</w:t>
      </w:r>
      <w:r w:rsidR="0002587B" w:rsidRPr="003B23CE">
        <w:t>, vilket innebär att</w:t>
      </w:r>
      <w:r w:rsidR="00681AD6" w:rsidRPr="003B23CE">
        <w:t xml:space="preserve"> alla hyresavtal hanteras digi</w:t>
      </w:r>
      <w:r w:rsidRPr="003B23CE">
        <w:t xml:space="preserve">talt. </w:t>
      </w:r>
    </w:p>
    <w:p w14:paraId="53DB5909" w14:textId="77777777" w:rsidR="00681AD6" w:rsidRPr="00681AD6" w:rsidRDefault="00681AD6" w:rsidP="00810162">
      <w:pPr>
        <w:autoSpaceDE w:val="0"/>
        <w:autoSpaceDN w:val="0"/>
        <w:adjustRightInd w:val="0"/>
        <w:spacing w:after="0" w:line="240" w:lineRule="auto"/>
        <w:ind w:left="360"/>
        <w:rPr>
          <w:highlight w:val="yellow"/>
        </w:rPr>
      </w:pPr>
    </w:p>
    <w:p w14:paraId="20F38411" w14:textId="77777777" w:rsidR="00E24194" w:rsidRPr="003B23CE" w:rsidRDefault="00E24194" w:rsidP="00485594">
      <w:pPr>
        <w:pStyle w:val="Rubrik4"/>
        <w:numPr>
          <w:ilvl w:val="3"/>
          <w:numId w:val="16"/>
        </w:numPr>
        <w:ind w:left="1442"/>
        <w:rPr>
          <w:color w:val="auto"/>
        </w:rPr>
      </w:pPr>
      <w:r w:rsidRPr="003B23CE">
        <w:rPr>
          <w:color w:val="auto"/>
        </w:rPr>
        <w:t>Lastbilstranspo</w:t>
      </w:r>
      <w:r w:rsidR="00D47E61" w:rsidRPr="003B23CE">
        <w:rPr>
          <w:color w:val="auto"/>
        </w:rPr>
        <w:t xml:space="preserve">rter av hyrbilar </w:t>
      </w:r>
    </w:p>
    <w:p w14:paraId="391E32D4" w14:textId="1DA4425F" w:rsidR="00E24194" w:rsidRPr="003B23CE" w:rsidRDefault="00E24194" w:rsidP="00810162">
      <w:pPr>
        <w:autoSpaceDE w:val="0"/>
        <w:autoSpaceDN w:val="0"/>
        <w:adjustRightInd w:val="0"/>
        <w:spacing w:after="0" w:line="240" w:lineRule="auto"/>
        <w:ind w:left="360"/>
      </w:pPr>
      <w:r w:rsidRPr="003B23CE">
        <w:t xml:space="preserve">Hertz </w:t>
      </w:r>
      <w:r w:rsidR="00682608" w:rsidRPr="003B23CE">
        <w:t xml:space="preserve"> tar </w:t>
      </w:r>
      <w:r w:rsidRPr="003B23CE">
        <w:t>hjälp av transportöre</w:t>
      </w:r>
      <w:r w:rsidR="00D47E61" w:rsidRPr="003B23CE">
        <w:t>r</w:t>
      </w:r>
      <w:r w:rsidRPr="003B23CE">
        <w:t xml:space="preserve"> för att flytta fordon. Det gör</w:t>
      </w:r>
      <w:r w:rsidR="005D4173" w:rsidRPr="003B23CE">
        <w:t xml:space="preserve"> vi</w:t>
      </w:r>
      <w:r w:rsidRPr="003B23CE">
        <w:t xml:space="preserve"> när det inte är möjligt att planera i god tid och </w:t>
      </w:r>
      <w:r w:rsidR="00FB232D" w:rsidRPr="003B23CE">
        <w:t xml:space="preserve">när </w:t>
      </w:r>
      <w:r w:rsidR="005D4173" w:rsidRPr="003B23CE">
        <w:t xml:space="preserve">vi behöver flytta </w:t>
      </w:r>
      <w:r w:rsidRPr="003B23CE">
        <w:t>flera fordon. Miljömässigt är det bättre att transportera bilar med transport</w:t>
      </w:r>
      <w:r w:rsidR="00D47E61" w:rsidRPr="003B23CE">
        <w:t>ör</w:t>
      </w:r>
      <w:r w:rsidRPr="003B23CE">
        <w:t xml:space="preserve"> än att köra dem, i alla fall om det är fordon som drivs med bensin eller diesel. </w:t>
      </w:r>
    </w:p>
    <w:p w14:paraId="5690C0C3" w14:textId="77777777" w:rsidR="00682608" w:rsidRPr="00681AD6" w:rsidRDefault="00682608" w:rsidP="00810162">
      <w:pPr>
        <w:autoSpaceDE w:val="0"/>
        <w:autoSpaceDN w:val="0"/>
        <w:adjustRightInd w:val="0"/>
        <w:spacing w:after="0" w:line="240" w:lineRule="auto"/>
        <w:ind w:left="360"/>
        <w:rPr>
          <w:highlight w:val="yellow"/>
        </w:rPr>
      </w:pPr>
    </w:p>
    <w:p w14:paraId="0A3FD934" w14:textId="77777777" w:rsidR="00E24194" w:rsidRPr="003B23CE" w:rsidRDefault="00E24194" w:rsidP="00485594">
      <w:pPr>
        <w:pStyle w:val="Rubrik4"/>
        <w:numPr>
          <w:ilvl w:val="3"/>
          <w:numId w:val="16"/>
        </w:numPr>
        <w:ind w:left="1442"/>
        <w:rPr>
          <w:color w:val="auto"/>
        </w:rPr>
      </w:pPr>
      <w:r w:rsidRPr="003B23CE">
        <w:rPr>
          <w:color w:val="auto"/>
        </w:rPr>
        <w:lastRenderedPageBreak/>
        <w:t>Intern förflyttning av fordon</w:t>
      </w:r>
    </w:p>
    <w:p w14:paraId="4E7C43A2" w14:textId="6EC3C10B" w:rsidR="00F969CB" w:rsidRPr="003B23CE" w:rsidRDefault="00E24194" w:rsidP="00D47E61">
      <w:pPr>
        <w:autoSpaceDE w:val="0"/>
        <w:autoSpaceDN w:val="0"/>
        <w:adjustRightInd w:val="0"/>
        <w:spacing w:after="0" w:line="240" w:lineRule="auto"/>
        <w:ind w:left="360"/>
      </w:pPr>
      <w:r w:rsidRPr="003B23CE">
        <w:t xml:space="preserve">När </w:t>
      </w:r>
      <w:r w:rsidR="003E605C" w:rsidRPr="003B23CE">
        <w:t xml:space="preserve">vi flyttar </w:t>
      </w:r>
      <w:r w:rsidRPr="003B23CE">
        <w:t>ett fordon och kilometerställningen inte belastar en kund</w:t>
      </w:r>
      <w:r w:rsidR="00684A26" w:rsidRPr="003B23CE">
        <w:t>,</w:t>
      </w:r>
      <w:r w:rsidR="00681AD6" w:rsidRPr="003B23CE">
        <w:t xml:space="preserve"> </w:t>
      </w:r>
      <w:r w:rsidR="00684A26" w:rsidRPr="003B23CE">
        <w:t xml:space="preserve">vid </w:t>
      </w:r>
      <w:r w:rsidRPr="003B23CE">
        <w:t xml:space="preserve">till exempel service av </w:t>
      </w:r>
      <w:r w:rsidR="00684A26" w:rsidRPr="003B23CE">
        <w:t xml:space="preserve">Hertz </w:t>
      </w:r>
      <w:r w:rsidR="003E605C" w:rsidRPr="003B23CE">
        <w:t>bilar,</w:t>
      </w:r>
      <w:r w:rsidRPr="003B23CE">
        <w:t xml:space="preserve"> eller för att flytta fordon dit Hertz har stor efterfrågan</w:t>
      </w:r>
      <w:r w:rsidR="00684A26" w:rsidRPr="003B23CE">
        <w:t>,</w:t>
      </w:r>
      <w:r w:rsidR="00681AD6" w:rsidRPr="003B23CE">
        <w:t xml:space="preserve"> </w:t>
      </w:r>
      <w:r w:rsidRPr="003B23CE">
        <w:t>gör</w:t>
      </w:r>
      <w:r w:rsidR="003E605C" w:rsidRPr="003B23CE">
        <w:t xml:space="preserve"> vi</w:t>
      </w:r>
      <w:r w:rsidRPr="003B23CE">
        <w:t xml:space="preserve"> ett internt hyreskontrakt. Hertz har valt att särredovisa de transporter</w:t>
      </w:r>
      <w:r w:rsidR="003E605C" w:rsidRPr="003B23CE">
        <w:t>na</w:t>
      </w:r>
      <w:r w:rsidRPr="003B23CE">
        <w:t xml:space="preserve"> </w:t>
      </w:r>
      <w:r w:rsidR="00684A26" w:rsidRPr="003B23CE">
        <w:t>via</w:t>
      </w:r>
      <w:r w:rsidRPr="003B23CE">
        <w:t xml:space="preserve"> Freerider, det vill säga när Hertz tar allmänheten till hjälp för att flytta fordonen, från dem </w:t>
      </w:r>
      <w:r w:rsidR="003E605C" w:rsidRPr="003B23CE">
        <w:t xml:space="preserve">vi </w:t>
      </w:r>
      <w:r w:rsidRPr="003B23CE">
        <w:t xml:space="preserve">gör när Hertz medarbetare sitter vid ratten. </w:t>
      </w:r>
    </w:p>
    <w:p w14:paraId="103B69FB" w14:textId="77777777" w:rsidR="00682608" w:rsidRPr="00681AD6" w:rsidRDefault="00682608" w:rsidP="00D47E61">
      <w:pPr>
        <w:autoSpaceDE w:val="0"/>
        <w:autoSpaceDN w:val="0"/>
        <w:adjustRightInd w:val="0"/>
        <w:spacing w:after="0" w:line="240" w:lineRule="auto"/>
        <w:ind w:left="360"/>
        <w:rPr>
          <w:highlight w:val="yellow"/>
        </w:rPr>
      </w:pPr>
    </w:p>
    <w:p w14:paraId="525D8AA3" w14:textId="77777777" w:rsidR="00E24194" w:rsidRPr="003B23CE" w:rsidRDefault="00E24194" w:rsidP="00485594">
      <w:pPr>
        <w:pStyle w:val="Rubrik4"/>
        <w:numPr>
          <w:ilvl w:val="3"/>
          <w:numId w:val="16"/>
        </w:numPr>
        <w:ind w:left="1442"/>
        <w:rPr>
          <w:color w:val="auto"/>
        </w:rPr>
      </w:pPr>
      <w:r w:rsidRPr="003B23CE">
        <w:rPr>
          <w:color w:val="auto"/>
        </w:rPr>
        <w:t xml:space="preserve">Däcktransporter </w:t>
      </w:r>
    </w:p>
    <w:p w14:paraId="699C81DA" w14:textId="77777777" w:rsidR="00E24194" w:rsidRPr="003B23CE" w:rsidRDefault="00E24194" w:rsidP="00810162">
      <w:pPr>
        <w:autoSpaceDE w:val="0"/>
        <w:autoSpaceDN w:val="0"/>
        <w:adjustRightInd w:val="0"/>
        <w:spacing w:after="0" w:line="240" w:lineRule="auto"/>
        <w:ind w:left="360"/>
      </w:pPr>
      <w:r w:rsidRPr="003B23CE">
        <w:t xml:space="preserve">De däck som för säsongen inte används </w:t>
      </w:r>
      <w:r w:rsidR="00E10760" w:rsidRPr="003B23CE">
        <w:t>förvara</w:t>
      </w:r>
      <w:r w:rsidRPr="003B23CE">
        <w:t xml:space="preserve">s centralt på </w:t>
      </w:r>
      <w:r w:rsidR="00D47E61" w:rsidRPr="003B23CE">
        <w:t>d</w:t>
      </w:r>
      <w:r w:rsidRPr="003B23CE">
        <w:t xml:space="preserve">äcklager i </w:t>
      </w:r>
      <w:r w:rsidR="00D47E61" w:rsidRPr="003B23CE">
        <w:t>Eskilstuna</w:t>
      </w:r>
      <w:r w:rsidR="00E10760" w:rsidRPr="003B23CE">
        <w:t xml:space="preserve"> hos vår partner</w:t>
      </w:r>
      <w:r w:rsidR="00D47E61" w:rsidRPr="003B23CE">
        <w:t>. A</w:t>
      </w:r>
      <w:r w:rsidRPr="003B23CE">
        <w:t xml:space="preserve">ll däckhantering </w:t>
      </w:r>
      <w:r w:rsidR="00D47E61" w:rsidRPr="003B23CE">
        <w:t>sker via</w:t>
      </w:r>
      <w:r w:rsidRPr="003B23CE">
        <w:t xml:space="preserve"> </w:t>
      </w:r>
      <w:r w:rsidR="00FB232D" w:rsidRPr="003B23CE">
        <w:t xml:space="preserve">en </w:t>
      </w:r>
      <w:r w:rsidRPr="003B23CE">
        <w:t>extern l</w:t>
      </w:r>
      <w:r w:rsidR="00910E34" w:rsidRPr="003B23CE">
        <w:t xml:space="preserve">everantör av däckförvaring. </w:t>
      </w:r>
    </w:p>
    <w:p w14:paraId="342E84F4" w14:textId="77777777" w:rsidR="00681AD6" w:rsidRPr="00681AD6" w:rsidRDefault="00681AD6" w:rsidP="00810162">
      <w:pPr>
        <w:autoSpaceDE w:val="0"/>
        <w:autoSpaceDN w:val="0"/>
        <w:adjustRightInd w:val="0"/>
        <w:spacing w:after="0" w:line="240" w:lineRule="auto"/>
        <w:ind w:left="360"/>
        <w:rPr>
          <w:b/>
          <w:bCs/>
          <w:highlight w:val="yellow"/>
        </w:rPr>
      </w:pPr>
    </w:p>
    <w:p w14:paraId="77AF48AC" w14:textId="77777777" w:rsidR="00E24194" w:rsidRPr="00694DDA" w:rsidRDefault="00E24194" w:rsidP="00485594">
      <w:pPr>
        <w:pStyle w:val="Rubrik4"/>
        <w:numPr>
          <w:ilvl w:val="3"/>
          <w:numId w:val="16"/>
        </w:numPr>
        <w:ind w:left="1442"/>
        <w:rPr>
          <w:color w:val="auto"/>
        </w:rPr>
      </w:pPr>
      <w:r w:rsidRPr="00694DDA">
        <w:rPr>
          <w:color w:val="auto"/>
        </w:rPr>
        <w:t>Tjänsteresor</w:t>
      </w:r>
    </w:p>
    <w:p w14:paraId="52012C57" w14:textId="77E0CEBB" w:rsidR="00682608" w:rsidRPr="00694DDA" w:rsidRDefault="00B475DC" w:rsidP="00E10760">
      <w:pPr>
        <w:ind w:left="360"/>
      </w:pPr>
      <w:r>
        <w:t xml:space="preserve">Vi har en resepolicy som anger att vi främst skall ta tåget eller ha ett digitalt möte då så är möjligt för </w:t>
      </w:r>
      <w:r w:rsidR="00682608" w:rsidRPr="00694DDA">
        <w:t>att</w:t>
      </w:r>
      <w:r>
        <w:t xml:space="preserve"> bl.a. annat</w:t>
      </w:r>
      <w:r w:rsidR="00682608" w:rsidRPr="00694DDA">
        <w:t xml:space="preserve"> minska våra utsläpp från tjänsteresor. </w:t>
      </w:r>
      <w:r w:rsidR="00C25E8F" w:rsidRPr="00694DDA">
        <w:t>Vi reser mindre och har fler digitala möten än tidigare.</w:t>
      </w:r>
    </w:p>
    <w:p w14:paraId="120EE0DF" w14:textId="77777777" w:rsidR="00E24194" w:rsidRPr="00694DDA" w:rsidRDefault="00E24194" w:rsidP="00485594">
      <w:pPr>
        <w:pStyle w:val="Rubrik4"/>
        <w:numPr>
          <w:ilvl w:val="3"/>
          <w:numId w:val="16"/>
        </w:numPr>
        <w:ind w:left="1442"/>
        <w:rPr>
          <w:color w:val="auto"/>
        </w:rPr>
      </w:pPr>
      <w:r w:rsidRPr="00694DDA">
        <w:rPr>
          <w:color w:val="auto"/>
        </w:rPr>
        <w:t>Uppvärmning och elanvändning</w:t>
      </w:r>
    </w:p>
    <w:p w14:paraId="5FD587A1" w14:textId="77777777" w:rsidR="00E24194" w:rsidRPr="00694DDA" w:rsidRDefault="00E24194" w:rsidP="00D47E61">
      <w:pPr>
        <w:autoSpaceDE w:val="0"/>
        <w:autoSpaceDN w:val="0"/>
        <w:adjustRightInd w:val="0"/>
        <w:spacing w:after="0" w:line="240" w:lineRule="auto"/>
        <w:ind w:left="360"/>
      </w:pPr>
      <w:r w:rsidRPr="00694DDA">
        <w:t>Hertz har lokaler på ett stort antal orter runt om i Sverige. Ofta hyr</w:t>
      </w:r>
      <w:r w:rsidR="00D43196" w:rsidRPr="00694DDA">
        <w:t xml:space="preserve"> vi</w:t>
      </w:r>
      <w:r w:rsidRPr="00694DDA">
        <w:t xml:space="preserve"> bara några kvadratmeter i en stor bilhall eller liknande, vilket gör det svårt att exakt mäta energianvändningen för </w:t>
      </w:r>
      <w:r w:rsidR="008E59CC" w:rsidRPr="00694DDA">
        <w:t>bruksel</w:t>
      </w:r>
      <w:r w:rsidRPr="00694DDA">
        <w:t xml:space="preserve"> och uppvärmning. För lokaler där </w:t>
      </w:r>
      <w:r w:rsidR="00D43196" w:rsidRPr="00694DDA">
        <w:t xml:space="preserve">vi </w:t>
      </w:r>
      <w:r w:rsidRPr="00694DDA">
        <w:t xml:space="preserve">själva kan välja vilken typ av el </w:t>
      </w:r>
      <w:r w:rsidR="00D43196" w:rsidRPr="00694DDA">
        <w:t xml:space="preserve">vi </w:t>
      </w:r>
      <w:r w:rsidRPr="00694DDA">
        <w:t>köp</w:t>
      </w:r>
      <w:r w:rsidR="00D43196" w:rsidRPr="00694DDA">
        <w:t>er</w:t>
      </w:r>
      <w:r w:rsidRPr="00694DDA">
        <w:t xml:space="preserve"> in välj</w:t>
      </w:r>
      <w:r w:rsidR="00D43196" w:rsidRPr="00694DDA">
        <w:t>er vi</w:t>
      </w:r>
      <w:r w:rsidRPr="00694DDA">
        <w:t xml:space="preserve"> miljömärkt el. </w:t>
      </w:r>
      <w:r w:rsidR="00FB232D" w:rsidRPr="00694DDA">
        <w:t>Vi har b</w:t>
      </w:r>
      <w:r w:rsidR="00E10760" w:rsidRPr="00694DDA">
        <w:t>eslut</w:t>
      </w:r>
      <w:r w:rsidR="00FB232D" w:rsidRPr="00694DDA">
        <w:t xml:space="preserve">at </w:t>
      </w:r>
      <w:r w:rsidR="00E10760" w:rsidRPr="00694DDA">
        <w:t>att all el som vi kan köpa in själ</w:t>
      </w:r>
      <w:r w:rsidR="00810162" w:rsidRPr="00694DDA">
        <w:t>v</w:t>
      </w:r>
      <w:r w:rsidR="00FB232D" w:rsidRPr="00694DDA">
        <w:t>a</w:t>
      </w:r>
      <w:r w:rsidR="00810162" w:rsidRPr="00694DDA">
        <w:t xml:space="preserve"> ska vara ”Bra miljövals</w:t>
      </w:r>
      <w:r w:rsidR="00D43196" w:rsidRPr="00694DDA">
        <w:t>-</w:t>
      </w:r>
      <w:r w:rsidR="00810162" w:rsidRPr="00694DDA">
        <w:t xml:space="preserve">el”. </w:t>
      </w:r>
    </w:p>
    <w:p w14:paraId="1DC1034F" w14:textId="77777777" w:rsidR="00682608" w:rsidRPr="00681AD6" w:rsidRDefault="00682608" w:rsidP="00D47E61">
      <w:pPr>
        <w:autoSpaceDE w:val="0"/>
        <w:autoSpaceDN w:val="0"/>
        <w:adjustRightInd w:val="0"/>
        <w:spacing w:after="0" w:line="240" w:lineRule="auto"/>
        <w:ind w:left="360"/>
        <w:rPr>
          <w:highlight w:val="yellow"/>
        </w:rPr>
      </w:pPr>
    </w:p>
    <w:p w14:paraId="10A89CAF" w14:textId="77777777" w:rsidR="00DE30F3" w:rsidRPr="00694DDA" w:rsidRDefault="00DE30F3" w:rsidP="00485594">
      <w:pPr>
        <w:pStyle w:val="Rubrik4"/>
        <w:numPr>
          <w:ilvl w:val="3"/>
          <w:numId w:val="16"/>
        </w:numPr>
        <w:ind w:left="1442"/>
        <w:rPr>
          <w:color w:val="auto"/>
        </w:rPr>
      </w:pPr>
      <w:r w:rsidRPr="00694DDA">
        <w:rPr>
          <w:color w:val="auto"/>
        </w:rPr>
        <w:t>Dubbdäck</w:t>
      </w:r>
    </w:p>
    <w:p w14:paraId="2F8F94C8" w14:textId="5838CAB0" w:rsidR="00DE30F3" w:rsidRPr="00694DDA" w:rsidRDefault="00810162" w:rsidP="00D47E61">
      <w:pPr>
        <w:autoSpaceDE w:val="0"/>
        <w:autoSpaceDN w:val="0"/>
        <w:adjustRightInd w:val="0"/>
        <w:spacing w:after="0" w:line="240" w:lineRule="auto"/>
        <w:ind w:left="360"/>
      </w:pPr>
      <w:r w:rsidRPr="00694DDA">
        <w:t>Ingen förändring av andel</w:t>
      </w:r>
      <w:r w:rsidR="00FB232D" w:rsidRPr="00694DDA">
        <w:t>arna</w:t>
      </w:r>
      <w:r w:rsidRPr="00694DDA">
        <w:t xml:space="preserve"> </w:t>
      </w:r>
      <w:r w:rsidR="00FB232D" w:rsidRPr="00694DDA">
        <w:t xml:space="preserve">av </w:t>
      </w:r>
      <w:r w:rsidRPr="00694DDA">
        <w:t>dubbfri</w:t>
      </w:r>
      <w:r w:rsidR="00FB232D" w:rsidRPr="00694DDA">
        <w:t>a</w:t>
      </w:r>
      <w:r w:rsidRPr="00694DDA">
        <w:t>/dubb</w:t>
      </w:r>
      <w:r w:rsidR="00FB232D" w:rsidRPr="00694DDA">
        <w:t xml:space="preserve">ade </w:t>
      </w:r>
      <w:r w:rsidRPr="00694DDA">
        <w:t xml:space="preserve">däck har skett under året. </w:t>
      </w:r>
      <w:r w:rsidR="00D43196" w:rsidRPr="00694DDA">
        <w:t xml:space="preserve">Fördelningen </w:t>
      </w:r>
      <w:r w:rsidRPr="00694DDA">
        <w:t>är fortfarande c</w:t>
      </w:r>
      <w:r w:rsidR="00FB232D" w:rsidRPr="00694DDA">
        <w:t>irk</w:t>
      </w:r>
      <w:r w:rsidRPr="00694DDA">
        <w:t xml:space="preserve">a </w:t>
      </w:r>
      <w:r w:rsidR="00DE30F3" w:rsidRPr="00694DDA">
        <w:t xml:space="preserve">50/50 för Hertz fordon. </w:t>
      </w:r>
      <w:r w:rsidR="00B475DC">
        <w:t>I den mån vi själva kan påverka valet är det dubbfria däck som väljes.</w:t>
      </w:r>
    </w:p>
    <w:p w14:paraId="324B80C4" w14:textId="77777777" w:rsidR="00AA6F30" w:rsidRPr="00694DDA" w:rsidRDefault="00AA6F30">
      <w:pPr>
        <w:rPr>
          <w:color w:val="000000" w:themeColor="text1"/>
        </w:rPr>
      </w:pPr>
    </w:p>
    <w:p w14:paraId="1597BD51" w14:textId="77777777" w:rsidR="004B62D2" w:rsidRPr="00694DDA" w:rsidRDefault="009918BA" w:rsidP="00485594">
      <w:pPr>
        <w:pStyle w:val="Rubrik4"/>
        <w:numPr>
          <w:ilvl w:val="3"/>
          <w:numId w:val="16"/>
        </w:numPr>
        <w:ind w:left="1442"/>
        <w:rPr>
          <w:color w:val="auto"/>
        </w:rPr>
      </w:pPr>
      <w:r w:rsidRPr="00694DDA">
        <w:rPr>
          <w:color w:val="auto"/>
        </w:rPr>
        <w:t>Klimatkompens</w:t>
      </w:r>
      <w:r w:rsidR="00491C78" w:rsidRPr="00694DDA">
        <w:rPr>
          <w:color w:val="auto"/>
        </w:rPr>
        <w:t>ation</w:t>
      </w:r>
    </w:p>
    <w:p w14:paraId="7946854B" w14:textId="16E5A56B" w:rsidR="00AA6F30" w:rsidRPr="00694DDA" w:rsidRDefault="00277BA3" w:rsidP="00694DDA">
      <w:pPr>
        <w:autoSpaceDE w:val="0"/>
        <w:autoSpaceDN w:val="0"/>
        <w:adjustRightInd w:val="0"/>
        <w:spacing w:after="0" w:line="240" w:lineRule="auto"/>
        <w:ind w:left="362"/>
      </w:pPr>
      <w:r w:rsidRPr="00694DDA">
        <w:t>Hertz har sedan år 2007 klimatkompenserat för medarbetarnas tjänsteresor och sedan slutet av 2008 erbjud</w:t>
      </w:r>
      <w:r w:rsidR="006767F3" w:rsidRPr="00694DDA">
        <w:t>er</w:t>
      </w:r>
      <w:r w:rsidRPr="00694DDA">
        <w:t xml:space="preserve"> </w:t>
      </w:r>
      <w:r w:rsidR="006767F3" w:rsidRPr="00694DDA">
        <w:t xml:space="preserve">vi </w:t>
      </w:r>
      <w:r w:rsidRPr="00694DDA">
        <w:t>också kunderna att kompensera för sina resor</w:t>
      </w:r>
      <w:r w:rsidR="00C907DD" w:rsidRPr="00694DDA">
        <w:t xml:space="preserve">. </w:t>
      </w:r>
      <w:r w:rsidRPr="00694DDA">
        <w:t>Hertz har valt att klimatkompensera i FN-godkända Gold Standardprojekt, som fokuserar på förnybar energiproduktion eller energieffektivisering</w:t>
      </w:r>
      <w:r w:rsidR="00E10760" w:rsidRPr="00694DDA">
        <w:t xml:space="preserve">. </w:t>
      </w:r>
      <w:r w:rsidR="00694DDA" w:rsidRPr="00694DDA">
        <w:t>Kompensationen sker genom inköp av reduktionsenheter från</w:t>
      </w:r>
      <w:r w:rsidR="00B475DC">
        <w:t xml:space="preserve"> spis projekt ”Siaya Cookstoves i Kenya”</w:t>
      </w:r>
      <w:r w:rsidR="00694DDA" w:rsidRPr="00694DDA">
        <w:t>. Projektet är certifierat i enlighet med Gold Standard. Förutom klimatnytta genererar projektet</w:t>
      </w:r>
      <w:r w:rsidR="00694DDA">
        <w:t xml:space="preserve"> </w:t>
      </w:r>
      <w:r w:rsidR="00694DDA" w:rsidRPr="00694DDA">
        <w:t>sociala mervärden såsom lokala arbetstillfällen och ett reducerat energiunderskott.</w:t>
      </w:r>
      <w:r w:rsidR="00694DDA">
        <w:t xml:space="preserve"> </w:t>
      </w:r>
      <w:r w:rsidR="00810162" w:rsidRPr="00694DDA">
        <w:t xml:space="preserve">Vår </w:t>
      </w:r>
      <w:r w:rsidR="00682608" w:rsidRPr="00694DDA">
        <w:t>interna klimatkompensation ligger på samma nivå som föregående år.</w:t>
      </w:r>
      <w:r w:rsidR="00B475DC">
        <w:t xml:space="preserve"> Kundernas klimatkompensation ökade under året. Detta beror på att vi nu klimatkompenserar alla våra guldkunders resor samt ICA-kundernas resor enligt avtal.</w:t>
      </w:r>
    </w:p>
    <w:p w14:paraId="21748948" w14:textId="77777777" w:rsidR="00682608" w:rsidRPr="00694DDA" w:rsidRDefault="00682608" w:rsidP="00682608"/>
    <w:p w14:paraId="0EC34C87" w14:textId="77777777" w:rsidR="006D39B6" w:rsidRPr="00694DDA" w:rsidRDefault="006D39B6" w:rsidP="00485594">
      <w:pPr>
        <w:pStyle w:val="Rubrik4"/>
        <w:numPr>
          <w:ilvl w:val="3"/>
          <w:numId w:val="16"/>
        </w:numPr>
        <w:ind w:left="1442"/>
        <w:rPr>
          <w:color w:val="auto"/>
        </w:rPr>
      </w:pPr>
      <w:r w:rsidRPr="00694DDA">
        <w:rPr>
          <w:color w:val="auto"/>
        </w:rPr>
        <w:t>Vatten</w:t>
      </w:r>
    </w:p>
    <w:p w14:paraId="755B8173" w14:textId="77777777" w:rsidR="00F304D2" w:rsidRPr="00694DDA" w:rsidRDefault="006D39B6" w:rsidP="00F304D2">
      <w:pPr>
        <w:ind w:left="378"/>
      </w:pPr>
      <w:r w:rsidRPr="00694DDA">
        <w:t xml:space="preserve">Förbrukning avser endast den mängd vatten som </w:t>
      </w:r>
      <w:r w:rsidR="002A3912" w:rsidRPr="00694DDA">
        <w:t xml:space="preserve">vi </w:t>
      </w:r>
      <w:r w:rsidRPr="00694DDA">
        <w:t>förbruka</w:t>
      </w:r>
      <w:r w:rsidR="002A3912" w:rsidRPr="00694DDA">
        <w:t>r</w:t>
      </w:r>
      <w:r w:rsidRPr="00694DDA">
        <w:t xml:space="preserve"> i samband med fordonstvätt. Hertz egna maskintvättar återanvänder (recirkulerar) samma vatten till flera fordonstvättar, 75 procent av allt tvättvatten recirkuleras.</w:t>
      </w:r>
      <w:r w:rsidR="00F304D2" w:rsidRPr="00694DDA">
        <w:t xml:space="preserve"> Detta avser vårt delägda bolag TRIO bilservice </w:t>
      </w:r>
      <w:r w:rsidR="00DE3FA6" w:rsidRPr="00694DDA">
        <w:t>som driver anläggningar</w:t>
      </w:r>
      <w:r w:rsidR="00F304D2" w:rsidRPr="00694DDA">
        <w:t>n</w:t>
      </w:r>
      <w:r w:rsidR="00DE3FA6" w:rsidRPr="00694DDA">
        <w:t>a</w:t>
      </w:r>
      <w:r w:rsidR="00F304D2" w:rsidRPr="00694DDA">
        <w:t xml:space="preserve"> på Arlanda och på Lan</w:t>
      </w:r>
      <w:r w:rsidR="00DE3FA6" w:rsidRPr="00694DDA">
        <w:t>d</w:t>
      </w:r>
      <w:r w:rsidR="00F304D2" w:rsidRPr="00694DDA">
        <w:t>vetter.</w:t>
      </w:r>
    </w:p>
    <w:p w14:paraId="528211A3" w14:textId="77777777" w:rsidR="006D39B6" w:rsidRPr="00EA6971" w:rsidRDefault="006D39B6" w:rsidP="006D39B6">
      <w:pPr>
        <w:ind w:left="378"/>
      </w:pPr>
      <w:r w:rsidRPr="00694DDA">
        <w:lastRenderedPageBreak/>
        <w:t xml:space="preserve"> Vi har antagit att externa maskintvättar recirkulerar 75 procent av tvättvatten (se rapport IVL fordonstvättar Miljöfrågor – tekniker – egenkontroll)</w:t>
      </w:r>
      <w:r w:rsidR="00E10760" w:rsidRPr="00694DDA">
        <w:t>. Förutom ett fåtal maskintvättar så sker den mesta av vår tvätt för hand med högtryckstvätt.</w:t>
      </w:r>
      <w:r w:rsidR="00F304D2" w:rsidRPr="00EA6971">
        <w:t xml:space="preserve"> </w:t>
      </w:r>
    </w:p>
    <w:p w14:paraId="1C2C8686" w14:textId="77777777" w:rsidR="00EE6160" w:rsidRPr="00EA6971" w:rsidRDefault="00EE6160" w:rsidP="00485594">
      <w:pPr>
        <w:pStyle w:val="Rubrik2"/>
        <w:numPr>
          <w:ilvl w:val="1"/>
          <w:numId w:val="16"/>
        </w:numPr>
        <w:rPr>
          <w:color w:val="000000" w:themeColor="text1"/>
        </w:rPr>
      </w:pPr>
      <w:bookmarkStart w:id="15" w:name="_Toc34657538"/>
      <w:r w:rsidRPr="00EA6971">
        <w:rPr>
          <w:color w:val="000000" w:themeColor="text1"/>
        </w:rPr>
        <w:t>Socialt ansvar</w:t>
      </w:r>
      <w:bookmarkEnd w:id="15"/>
    </w:p>
    <w:p w14:paraId="1475B7F9" w14:textId="77777777" w:rsidR="009214A2" w:rsidRDefault="009214A2" w:rsidP="009214A2">
      <w:pPr>
        <w:pStyle w:val="Liststycke"/>
        <w:ind w:left="372"/>
      </w:pPr>
      <w:r>
        <w:t xml:space="preserve">FRAC är en ledande koncern inom vagnparkslösningar och mobilitetstjänster, såsom uthyrning av fordon och bildelningstjänster. Som marknadsledare har vi ett stort ansvar för att våra produkter och tjänster är trygga ur ett miljö-, hälso- och säkerhetsperspektiv. </w:t>
      </w:r>
    </w:p>
    <w:p w14:paraId="031F895A" w14:textId="77777777" w:rsidR="009214A2" w:rsidRDefault="009214A2" w:rsidP="009214A2">
      <w:pPr>
        <w:pStyle w:val="Liststycke"/>
        <w:autoSpaceDE w:val="0"/>
        <w:autoSpaceDN w:val="0"/>
        <w:ind w:left="372"/>
        <w:jc w:val="both"/>
      </w:pPr>
    </w:p>
    <w:p w14:paraId="6BE4F684" w14:textId="00DD682D" w:rsidR="009214A2" w:rsidRDefault="00844B38" w:rsidP="00844B38">
      <w:pPr>
        <w:pStyle w:val="Liststycke"/>
        <w:autoSpaceDE w:val="0"/>
        <w:autoSpaceDN w:val="0"/>
        <w:ind w:left="372"/>
        <w:jc w:val="both"/>
      </w:pPr>
      <w:r>
        <w:t xml:space="preserve">Hertz </w:t>
      </w:r>
      <w:r w:rsidR="009214A2">
        <w:t xml:space="preserve">är en aktiv part i Biluthyrarna Sverige. Hertz arbetar efter Biluthyrarna Sveriges policy som innebär att anställda hos medlemsföretagen under alla omständigheter ska uppträda korrekt, ärligt och opartiskt mot alla kunder, kollegor, leverantörer och varje annan affärskontakt oberoende av hudfärg, religion, nationellt ursprung, bosättningsland, kön och civilstånd. </w:t>
      </w:r>
    </w:p>
    <w:p w14:paraId="49D22855" w14:textId="77777777" w:rsidR="009214A2" w:rsidRPr="009214A2" w:rsidRDefault="009214A2" w:rsidP="009214A2">
      <w:pPr>
        <w:pStyle w:val="Liststycke"/>
        <w:autoSpaceDE w:val="0"/>
        <w:autoSpaceDN w:val="0"/>
        <w:ind w:left="372"/>
        <w:jc w:val="both"/>
        <w:rPr>
          <w:highlight w:val="yellow"/>
        </w:rPr>
      </w:pPr>
    </w:p>
    <w:p w14:paraId="1E621188" w14:textId="77777777" w:rsidR="009214A2" w:rsidRDefault="009214A2" w:rsidP="009214A2">
      <w:pPr>
        <w:pStyle w:val="Liststycke"/>
        <w:autoSpaceDE w:val="0"/>
        <w:autoSpaceDN w:val="0"/>
        <w:ind w:left="372"/>
      </w:pPr>
      <w:r>
        <w:t>Sedan 2009 följer Hertz kontinuerligt upp kundnöjdheten via Hertz globala system för uppföljning av kundnöjdhet. Undersökningen är densamma över hela världen, vilket gör att det går att jämföra olika uthyrningskontor och länder med varandra. Resultatet sammanställs och anger hur stor andel av kunderna som är förespråkare för Hertz, det vill säga som troligen skulle rekommendera Hertz till andra.</w:t>
      </w:r>
    </w:p>
    <w:p w14:paraId="33476147" w14:textId="77777777" w:rsidR="009214A2" w:rsidRDefault="009214A2" w:rsidP="009214A2">
      <w:pPr>
        <w:pStyle w:val="Liststycke"/>
        <w:autoSpaceDE w:val="0"/>
        <w:autoSpaceDN w:val="0"/>
        <w:ind w:left="372"/>
      </w:pPr>
    </w:p>
    <w:p w14:paraId="546BB696" w14:textId="77777777" w:rsidR="009214A2" w:rsidRDefault="009214A2" w:rsidP="009214A2">
      <w:pPr>
        <w:pStyle w:val="Liststycke"/>
        <w:autoSpaceDE w:val="0"/>
        <w:autoSpaceDN w:val="0"/>
        <w:ind w:left="372"/>
      </w:pPr>
      <w:r>
        <w:t>Vi arbetar också med vår nya servicestrategi för att kunna möta ökade krav på tillgänglighet. Implementering av nya arbetssätt har också inneburit en omfördelning av resurser för att kunna möta kundernas krav på service, tillgänglighet och kontaktytor. I arbetet med den nya servicestrategin har vi involverat ledning, servicecentrets medarbetare och externa specialister. Arbetet är långsiktigt och kommer att pågå under flera år.</w:t>
      </w:r>
    </w:p>
    <w:p w14:paraId="43487182" w14:textId="77777777" w:rsidR="009214A2" w:rsidRDefault="009214A2" w:rsidP="009214A2">
      <w:pPr>
        <w:pStyle w:val="Liststycke"/>
        <w:autoSpaceDE w:val="0"/>
        <w:autoSpaceDN w:val="0"/>
        <w:ind w:left="372"/>
      </w:pPr>
    </w:p>
    <w:p w14:paraId="4D3759F9" w14:textId="77777777" w:rsidR="009214A2" w:rsidRDefault="009214A2" w:rsidP="009214A2">
      <w:pPr>
        <w:pStyle w:val="Liststycke"/>
        <w:autoSpaceDE w:val="0"/>
        <w:autoSpaceDN w:val="0"/>
        <w:ind w:left="372"/>
      </w:pPr>
      <w:r>
        <w:t>Vi har även fått en ännu större trygghet genom en ägare som också är engagerad i det lokala samhället och som deltar i många projekt som knyter an till socialt ansvar.</w:t>
      </w:r>
    </w:p>
    <w:p w14:paraId="6CE21BFC" w14:textId="77777777" w:rsidR="00AA6F30" w:rsidRPr="00EA6971" w:rsidRDefault="00AA6F30" w:rsidP="00E465A4">
      <w:pPr>
        <w:autoSpaceDE w:val="0"/>
        <w:autoSpaceDN w:val="0"/>
        <w:adjustRightInd w:val="0"/>
        <w:spacing w:after="0" w:line="240" w:lineRule="auto"/>
        <w:ind w:left="360"/>
      </w:pPr>
    </w:p>
    <w:p w14:paraId="39588EDB" w14:textId="77777777" w:rsidR="00E465A4" w:rsidRPr="007F2F53" w:rsidRDefault="00E465A4" w:rsidP="00485594">
      <w:pPr>
        <w:pStyle w:val="Rubrik3"/>
        <w:numPr>
          <w:ilvl w:val="2"/>
          <w:numId w:val="16"/>
        </w:numPr>
        <w:ind w:left="1134"/>
        <w:rPr>
          <w:color w:val="auto"/>
        </w:rPr>
      </w:pPr>
      <w:bookmarkStart w:id="16" w:name="_Toc34657539"/>
      <w:r w:rsidRPr="007F2F53">
        <w:rPr>
          <w:color w:val="auto"/>
        </w:rPr>
        <w:t>Medarbetarna</w:t>
      </w:r>
      <w:bookmarkEnd w:id="16"/>
    </w:p>
    <w:p w14:paraId="0A0999FB" w14:textId="77777777" w:rsidR="009214A2" w:rsidRDefault="009214A2" w:rsidP="009214A2">
      <w:pPr>
        <w:pStyle w:val="Liststycke"/>
        <w:ind w:left="372"/>
        <w:rPr>
          <w:lang w:eastAsia="sv-SE"/>
        </w:rPr>
      </w:pPr>
      <w:r>
        <w:rPr>
          <w:lang w:eastAsia="sv-SE"/>
        </w:rPr>
        <w:t>FRAC:s övertygelse är att mångfald på arbetsplatsen stärker konkurrenskraften genom en ökad insikt om olika kunders krav, behov och förväntningar – samtidigt som det gör FRAC till en attraktiv arbetsgivare.</w:t>
      </w:r>
    </w:p>
    <w:p w14:paraId="2D64F758" w14:textId="77777777" w:rsidR="009214A2" w:rsidRDefault="009214A2" w:rsidP="009214A2">
      <w:pPr>
        <w:pStyle w:val="Liststycke"/>
        <w:ind w:left="372"/>
        <w:rPr>
          <w:lang w:eastAsia="sv-SE"/>
        </w:rPr>
      </w:pPr>
      <w:r>
        <w:rPr>
          <w:lang w:eastAsia="sv-SE"/>
        </w:rPr>
        <w:t>Som plattform för vår utbildning ligger ett Learning Management System (LMS) som är tillgängligt för hela Hertznätverket och alla bolagen i koncernen. För att kunna leverera den service och kvalitet som Hertz och Bilreda står för krävs det medarbetare som är kompetenta i sina roller och som trivs på arbetsplatsen.</w:t>
      </w:r>
    </w:p>
    <w:p w14:paraId="1571B78C" w14:textId="77777777" w:rsidR="009214A2" w:rsidRDefault="009214A2" w:rsidP="009214A2">
      <w:pPr>
        <w:pStyle w:val="Liststycke"/>
        <w:ind w:left="372"/>
        <w:rPr>
          <w:lang w:eastAsia="sv-SE"/>
        </w:rPr>
      </w:pPr>
      <w:r>
        <w:rPr>
          <w:lang w:eastAsia="sv-SE"/>
        </w:rPr>
        <w:t>Hertz medarbetare utgörs till cirka 60 procent av operativ personal, som arbetar på uthyrningskontor över hela landet. Resterande del är tjänstemän och centrala funktioner, som i huvudsak arbetar på huvudkontoret i Stockholm, på Hertz Sales Center i Arvidsjaur eller på Customer Care Center i Göteborg. Utöver tillsvidareanställda har Hertz även tidsbegränsat anställda och inhyrd personal. Av dessa personer arbetar en övervägande del operativt på uthyrningskontoren.</w:t>
      </w:r>
    </w:p>
    <w:p w14:paraId="469B41C3" w14:textId="77777777" w:rsidR="009214A2" w:rsidRDefault="009214A2" w:rsidP="009214A2">
      <w:pPr>
        <w:pStyle w:val="Liststycke"/>
        <w:ind w:left="372"/>
        <w:rPr>
          <w:lang w:eastAsia="sv-SE"/>
        </w:rPr>
      </w:pPr>
      <w:r>
        <w:rPr>
          <w:lang w:eastAsia="sv-SE"/>
        </w:rPr>
        <w:lastRenderedPageBreak/>
        <w:t>Traditionellt har biluthyrningsyrket varit ett genomgångsyrke, vilket medfört att branschen som sådan har en högre personalomsättning än andra branscher. Vi fortsätter därför med att använda de screeningtester i vår rekryteringsprocess som infördes under 2017. Screeningtesterna hjälper oss också att genomföra rekryteringar med minskad risk för diskriminering, vilket också nämns av Diskrimineringsombudsmannens (DO) genomgång av aktuell forskning ”Hundra möjligheter att rekrytera utan att diskriminera – det här visar forskningen”.</w:t>
      </w:r>
    </w:p>
    <w:p w14:paraId="4D36AFC1" w14:textId="77777777" w:rsidR="009214A2" w:rsidRDefault="009214A2" w:rsidP="009214A2">
      <w:pPr>
        <w:pStyle w:val="Liststycke"/>
        <w:ind w:left="372"/>
        <w:rPr>
          <w:lang w:eastAsia="sv-SE"/>
        </w:rPr>
      </w:pPr>
      <w:r>
        <w:rPr>
          <w:lang w:eastAsia="sv-SE"/>
        </w:rPr>
        <w:t>Under året har vi haft fokus på att utveckla både de lärarledda och webbaserade utbildningar vi har för främst vår operativa personal. Vi har även genomfört en lönekartläggning i samtliga koncernens bolag. Under 2018 tillträdde Mattias Wäne som ny VD för Hertz Sverige samt skedde flera stora organisationsförändringar som bland annat påverkat ledningsgruppens sammansättning. Uppdateringar av vision och mission har skett och lanseringar av dessa kommer ske under 2019. Flertalet nya roller har introducerats som bland annat skall supportera ökat fokus kring kundnöjdhetsfrågor samt en kommande kultur och ledarskapsresa.</w:t>
      </w:r>
    </w:p>
    <w:p w14:paraId="460157C1" w14:textId="77777777" w:rsidR="009214A2" w:rsidRDefault="009214A2" w:rsidP="009214A2">
      <w:pPr>
        <w:pStyle w:val="Liststycke"/>
        <w:ind w:left="372"/>
        <w:rPr>
          <w:lang w:eastAsia="sv-SE"/>
        </w:rPr>
      </w:pPr>
      <w:r>
        <w:rPr>
          <w:lang w:eastAsia="sv-SE"/>
        </w:rPr>
        <w:t>Vi genomförde en medarbetarundersökning under 2018. Undersökningen mäter en rad olika områden som mynnar ut i medarbetarnas engagemang i form av arbetsglädje och lojalitet och tydligt regelbundet arbete med dessa har påbörjats. Inför 2020 höjdes friskvårdsbidraget till 2500sek för att påvisa vikten av medarbetares hälsa.</w:t>
      </w:r>
    </w:p>
    <w:p w14:paraId="36C3A9B5" w14:textId="77777777" w:rsidR="00E465A4" w:rsidRPr="006B4363" w:rsidRDefault="00E465A4" w:rsidP="00485594">
      <w:pPr>
        <w:pStyle w:val="Rubrik3"/>
        <w:numPr>
          <w:ilvl w:val="2"/>
          <w:numId w:val="16"/>
        </w:numPr>
        <w:ind w:left="993" w:hanging="579"/>
        <w:rPr>
          <w:color w:val="auto"/>
        </w:rPr>
      </w:pPr>
      <w:bookmarkStart w:id="17" w:name="_Toc34657540"/>
      <w:r w:rsidRPr="006B4363">
        <w:rPr>
          <w:color w:val="auto"/>
        </w:rPr>
        <w:t>Vår roll i samhället</w:t>
      </w:r>
      <w:bookmarkEnd w:id="17"/>
    </w:p>
    <w:p w14:paraId="0B524B1D" w14:textId="207593E1" w:rsidR="00B06846" w:rsidRPr="006B4363" w:rsidRDefault="00B06846" w:rsidP="00AD718E">
      <w:pPr>
        <w:autoSpaceDE w:val="0"/>
        <w:autoSpaceDN w:val="0"/>
        <w:adjustRightInd w:val="0"/>
        <w:spacing w:after="0" w:line="240" w:lineRule="auto"/>
        <w:ind w:left="360"/>
      </w:pPr>
      <w:r w:rsidRPr="006B4363">
        <w:t xml:space="preserve">Som marknadsledande inom </w:t>
      </w:r>
      <w:r w:rsidR="0081114B" w:rsidRPr="006B4363">
        <w:t>två av de branscher där vi verkar</w:t>
      </w:r>
      <w:r w:rsidR="007B182C" w:rsidRPr="006B4363">
        <w:t>,</w:t>
      </w:r>
      <w:r w:rsidRPr="006B4363">
        <w:t xml:space="preserve"> och med en nationell etablering från norr till söder</w:t>
      </w:r>
      <w:r w:rsidR="007B182C" w:rsidRPr="006B4363">
        <w:t>,</w:t>
      </w:r>
      <w:r w:rsidRPr="006B4363">
        <w:t xml:space="preserve"> ser </w:t>
      </w:r>
      <w:r w:rsidR="007B182C" w:rsidRPr="006B4363">
        <w:t xml:space="preserve">vi </w:t>
      </w:r>
      <w:r w:rsidR="00CC1BAD" w:rsidRPr="006B4363">
        <w:t xml:space="preserve">att vi </w:t>
      </w:r>
      <w:r w:rsidRPr="006B4363">
        <w:t>med vår stora kontaktyta mot kunder, leverantörer och återförsäljare har ett stort ansvar.</w:t>
      </w:r>
      <w:r w:rsidR="007B182C" w:rsidRPr="006B4363">
        <w:br/>
      </w:r>
    </w:p>
    <w:p w14:paraId="6F186083" w14:textId="77777777" w:rsidR="005A5D0C" w:rsidRPr="006B4363" w:rsidRDefault="00AD718E" w:rsidP="005A5D0C">
      <w:pPr>
        <w:autoSpaceDE w:val="0"/>
        <w:autoSpaceDN w:val="0"/>
        <w:adjustRightInd w:val="0"/>
        <w:spacing w:after="0" w:line="240" w:lineRule="auto"/>
        <w:ind w:left="357"/>
      </w:pPr>
      <w:r w:rsidRPr="006B4363">
        <w:t xml:space="preserve">Ett etiskt uppförande och efterlevnad av gällande lagstiftning är grundläggande för </w:t>
      </w:r>
      <w:r w:rsidR="0081114B" w:rsidRPr="006B4363">
        <w:t>FRAC</w:t>
      </w:r>
      <w:r w:rsidR="00DA2C37" w:rsidRPr="006B4363">
        <w:t>:</w:t>
      </w:r>
      <w:r w:rsidR="0081114B" w:rsidRPr="006B4363">
        <w:t>s</w:t>
      </w:r>
      <w:r w:rsidRPr="006B4363">
        <w:t xml:space="preserve"> verksamhet. Hertz Standards of Business Conduct är affärsetiska regler som är beslutade av Hertz Corporation och omfattar Hertz verksamhet över hela världen. Reglerna omfattar områden som</w:t>
      </w:r>
      <w:r w:rsidR="001A78B4" w:rsidRPr="006B4363">
        <w:t xml:space="preserve"> försiktighetsprincipen,</w:t>
      </w:r>
      <w:r w:rsidRPr="006B4363">
        <w:t xml:space="preserve"> lagefterlevnad, konkurrensfrågor, representation, givande och mottagande av gåvor, delaktighet i politiska processer, intressekonflikter och hantering av konfidentiella handlingar. Riktlinjerna innehåller även rutiner för rapportering av misstanke om avvikelse mot reglerna och kontroll att reglerna följs.</w:t>
      </w:r>
      <w:r w:rsidR="004B1EA6" w:rsidRPr="006B4363">
        <w:t xml:space="preserve"> </w:t>
      </w:r>
      <w:r w:rsidRPr="006B4363">
        <w:t xml:space="preserve">Utöver </w:t>
      </w:r>
      <w:r w:rsidR="00A75421" w:rsidRPr="006B4363">
        <w:t xml:space="preserve">dessa riktlinjer </w:t>
      </w:r>
      <w:r w:rsidRPr="006B4363">
        <w:t xml:space="preserve">har vi även tagit </w:t>
      </w:r>
      <w:r w:rsidR="0081114B" w:rsidRPr="006B4363">
        <w:t>fram en egen uppförandekod för FRAC</w:t>
      </w:r>
      <w:r w:rsidRPr="006B4363">
        <w:t xml:space="preserve"> Sverige. Den baserar sig på UN Global Compacts tio principer som vi i vår koncern valt att stödja genom att underteckna. </w:t>
      </w:r>
    </w:p>
    <w:p w14:paraId="153B7EA6" w14:textId="77777777" w:rsidR="008F007E" w:rsidRPr="007D2292" w:rsidRDefault="008F007E" w:rsidP="005A5D0C">
      <w:pPr>
        <w:autoSpaceDE w:val="0"/>
        <w:autoSpaceDN w:val="0"/>
        <w:adjustRightInd w:val="0"/>
        <w:spacing w:after="0" w:line="240" w:lineRule="auto"/>
        <w:ind w:left="357"/>
        <w:rPr>
          <w:highlight w:val="yellow"/>
        </w:rPr>
      </w:pPr>
    </w:p>
    <w:p w14:paraId="26765FED" w14:textId="5497F8AA" w:rsidR="008F007E" w:rsidRPr="007F3036" w:rsidRDefault="0092405B" w:rsidP="005A5D0C">
      <w:pPr>
        <w:autoSpaceDE w:val="0"/>
        <w:autoSpaceDN w:val="0"/>
        <w:adjustRightInd w:val="0"/>
        <w:spacing w:after="0" w:line="240" w:lineRule="auto"/>
        <w:ind w:left="357"/>
      </w:pPr>
      <w:r w:rsidRPr="007F3036">
        <w:t>Hertz</w:t>
      </w:r>
      <w:r w:rsidR="00B475DC">
        <w:t>/</w:t>
      </w:r>
      <w:r w:rsidR="008F007E" w:rsidRPr="007F3036">
        <w:t>Bilreda</w:t>
      </w:r>
      <w:r w:rsidRPr="007F3036">
        <w:t xml:space="preserve"> har inte haft några fall av diskriminering. </w:t>
      </w:r>
      <w:r w:rsidR="007B182C" w:rsidRPr="007F3036">
        <w:br/>
      </w:r>
    </w:p>
    <w:p w14:paraId="264AD4BA" w14:textId="66431FE8" w:rsidR="008F007E" w:rsidRPr="007F3036" w:rsidRDefault="00B475DC" w:rsidP="005A5D0C">
      <w:pPr>
        <w:autoSpaceDE w:val="0"/>
        <w:autoSpaceDN w:val="0"/>
        <w:adjustRightInd w:val="0"/>
        <w:spacing w:after="0" w:line="240" w:lineRule="auto"/>
        <w:ind w:left="357"/>
      </w:pPr>
      <w:r>
        <w:t>Hertz/</w:t>
      </w:r>
      <w:r w:rsidR="008F007E" w:rsidRPr="007F3036">
        <w:t xml:space="preserve">Bilreda </w:t>
      </w:r>
      <w:r w:rsidR="0092405B" w:rsidRPr="007F3036">
        <w:t xml:space="preserve">bedriver ingen egen produktion av varor. Vi tillhandahåller hyrbilar och bilpoolsbilar. Tillverkning av dessa sker av extern part. Vi köper in </w:t>
      </w:r>
      <w:r w:rsidR="007B182C" w:rsidRPr="007F3036">
        <w:t xml:space="preserve">en </w:t>
      </w:r>
      <w:r w:rsidR="0092405B" w:rsidRPr="007F3036">
        <w:t>färdig produkt. Vår verksamhet omfattas av kollektivavtal.</w:t>
      </w:r>
      <w:r w:rsidR="007B182C" w:rsidRPr="007F3036">
        <w:br/>
      </w:r>
    </w:p>
    <w:p w14:paraId="1FCF9DF1" w14:textId="3BBD5643" w:rsidR="008F007E" w:rsidRPr="007F3036" w:rsidRDefault="0092405B" w:rsidP="005A5D0C">
      <w:pPr>
        <w:autoSpaceDE w:val="0"/>
        <w:autoSpaceDN w:val="0"/>
        <w:adjustRightInd w:val="0"/>
        <w:spacing w:after="0" w:line="240" w:lineRule="auto"/>
        <w:ind w:left="357"/>
      </w:pPr>
      <w:r w:rsidRPr="007F3036">
        <w:t>Risken för barnarbete i Sverige och Norden där vi verkar är väldigt låg. De leverantörer vi använder oss av tar del av vår uppförandekod och ska vara medvetna om hur vi agera</w:t>
      </w:r>
      <w:r w:rsidR="007B182C" w:rsidRPr="007F3036">
        <w:t>r</w:t>
      </w:r>
      <w:r w:rsidRPr="007F3036">
        <w:t xml:space="preserve"> i dessa frågor.</w:t>
      </w:r>
      <w:r w:rsidR="008F007E" w:rsidRPr="007F3036">
        <w:t xml:space="preserve"> </w:t>
      </w:r>
      <w:r w:rsidRPr="007F3036">
        <w:t>I d</w:t>
      </w:r>
      <w:r w:rsidR="00844B38">
        <w:t xml:space="preserve">en verksamhet som Hertz och </w:t>
      </w:r>
      <w:r w:rsidR="008F007E" w:rsidRPr="007F3036">
        <w:t>Bilreda</w:t>
      </w:r>
      <w:r w:rsidRPr="007F3036">
        <w:t xml:space="preserve"> </w:t>
      </w:r>
      <w:r w:rsidR="007B182C" w:rsidRPr="007F3036">
        <w:t xml:space="preserve">bedriver </w:t>
      </w:r>
      <w:r w:rsidRPr="007F3036">
        <w:t xml:space="preserve">är risken för tvångsarbete mycket låg. </w:t>
      </w:r>
      <w:r w:rsidR="007B182C" w:rsidRPr="007F3036">
        <w:br/>
      </w:r>
    </w:p>
    <w:p w14:paraId="7AEAED21" w14:textId="0AFA1F4D" w:rsidR="008F007E" w:rsidRPr="007F3036" w:rsidRDefault="008F007E" w:rsidP="008F007E">
      <w:pPr>
        <w:autoSpaceDE w:val="0"/>
        <w:autoSpaceDN w:val="0"/>
        <w:adjustRightInd w:val="0"/>
        <w:spacing w:after="0" w:line="240" w:lineRule="auto"/>
        <w:ind w:left="357"/>
      </w:pPr>
      <w:r w:rsidRPr="007F3036">
        <w:t>Inga juridiska åtgärder h</w:t>
      </w:r>
      <w:r w:rsidR="00B475DC">
        <w:t xml:space="preserve">ar vidtagits mot Hertz </w:t>
      </w:r>
      <w:r w:rsidRPr="007F3036">
        <w:t xml:space="preserve">eller Bilreda avseende konkurrensfientligt beteende, överträdelse i konkurrenslagstiftning </w:t>
      </w:r>
      <w:r w:rsidR="007B182C" w:rsidRPr="007F3036">
        <w:t>eller</w:t>
      </w:r>
      <w:r w:rsidRPr="007F3036">
        <w:t xml:space="preserve"> monopolitiska rutiner.</w:t>
      </w:r>
      <w:r w:rsidR="007B182C" w:rsidRPr="007F3036">
        <w:br/>
      </w:r>
    </w:p>
    <w:p w14:paraId="21980F3D" w14:textId="77777777" w:rsidR="0092405B" w:rsidRPr="007F3036" w:rsidRDefault="008F007E" w:rsidP="008F007E">
      <w:pPr>
        <w:autoSpaceDE w:val="0"/>
        <w:autoSpaceDN w:val="0"/>
        <w:adjustRightInd w:val="0"/>
        <w:spacing w:after="0" w:line="240" w:lineRule="auto"/>
        <w:ind w:left="357"/>
      </w:pPr>
      <w:r w:rsidRPr="007F3036">
        <w:lastRenderedPageBreak/>
        <w:t xml:space="preserve">De böter som kan </w:t>
      </w:r>
      <w:r w:rsidR="00DA2C37" w:rsidRPr="007F3036">
        <w:t xml:space="preserve">komma </w:t>
      </w:r>
      <w:r w:rsidRPr="007F3036">
        <w:t xml:space="preserve">ifråga för vår typ av verksamhet är olika typer av trafikförseelser som våra kunder och anställda gör sig skyldiga till </w:t>
      </w:r>
      <w:r w:rsidR="007B182C" w:rsidRPr="007F3036">
        <w:t>när de kör fordon</w:t>
      </w:r>
      <w:r w:rsidRPr="007F3036">
        <w:t xml:space="preserve"> som tillhör verksamheten. Dessa förseelser hanteras mellan myndighet och den part som utfört överträdelsen. Där</w:t>
      </w:r>
      <w:r w:rsidR="007B182C" w:rsidRPr="007F3036">
        <w:t>för</w:t>
      </w:r>
      <w:r w:rsidRPr="007F3036">
        <w:t xml:space="preserve"> sker ingen redovisning av dessa </w:t>
      </w:r>
      <w:r w:rsidR="007B182C" w:rsidRPr="007F3036">
        <w:t xml:space="preserve">från </w:t>
      </w:r>
      <w:r w:rsidRPr="007F3036">
        <w:t>verksamhetens håll.</w:t>
      </w:r>
    </w:p>
    <w:p w14:paraId="618D6190" w14:textId="77777777" w:rsidR="005A5D0C" w:rsidRPr="007F3036" w:rsidRDefault="005A5D0C" w:rsidP="005A5D0C">
      <w:pPr>
        <w:autoSpaceDE w:val="0"/>
        <w:autoSpaceDN w:val="0"/>
        <w:adjustRightInd w:val="0"/>
        <w:spacing w:after="0" w:line="240" w:lineRule="auto"/>
        <w:ind w:left="357"/>
      </w:pPr>
    </w:p>
    <w:p w14:paraId="07E4B951" w14:textId="698A06A7" w:rsidR="004D68A5" w:rsidRPr="007F3036" w:rsidRDefault="004D68A5" w:rsidP="007D2292">
      <w:pPr>
        <w:ind w:left="357"/>
      </w:pPr>
      <w:r w:rsidRPr="007F3036">
        <w:t xml:space="preserve">FRAC </w:t>
      </w:r>
      <w:r w:rsidR="00E85E53" w:rsidRPr="007F3036">
        <w:t xml:space="preserve">bidrar också till samhället genom sponsringsåtaganden och frivilliga bidrag till olika organisationer. </w:t>
      </w:r>
      <w:r w:rsidRPr="007F3036">
        <w:t>FRAC</w:t>
      </w:r>
      <w:r w:rsidR="00E85E53" w:rsidRPr="007F3036">
        <w:t xml:space="preserve"> har valt att inrikta sponsring och frivilliga bidrag på områdena </w:t>
      </w:r>
      <w:r w:rsidR="00E85E53" w:rsidRPr="007F3036">
        <w:rPr>
          <w:i/>
        </w:rPr>
        <w:t>”Humanitet och etik”</w:t>
      </w:r>
      <w:r w:rsidR="00E85E53" w:rsidRPr="007F3036">
        <w:t xml:space="preserve">, </w:t>
      </w:r>
      <w:r w:rsidR="00E85E53" w:rsidRPr="007F3036">
        <w:rPr>
          <w:i/>
        </w:rPr>
        <w:t>”Miljö”</w:t>
      </w:r>
      <w:r w:rsidR="00E85E53" w:rsidRPr="007F3036">
        <w:t xml:space="preserve"> samt </w:t>
      </w:r>
      <w:r w:rsidR="00E85E53" w:rsidRPr="007F3036">
        <w:rPr>
          <w:i/>
        </w:rPr>
        <w:t>”Idrott och kultur”</w:t>
      </w:r>
      <w:r w:rsidR="00E85E53" w:rsidRPr="007F3036">
        <w:t xml:space="preserve">. </w:t>
      </w:r>
      <w:r w:rsidR="00DA2C37" w:rsidRPr="007F3036">
        <w:t xml:space="preserve">Vi samarbetar därför med </w:t>
      </w:r>
      <w:r w:rsidRPr="007F3036">
        <w:t>World Childhood F</w:t>
      </w:r>
      <w:r w:rsidR="00B475DC">
        <w:t xml:space="preserve">oundation, Situation Stockholm, </w:t>
      </w:r>
      <w:r w:rsidRPr="007F3036">
        <w:t>Röda Korset som katastrofpartner</w:t>
      </w:r>
      <w:r w:rsidR="00B475DC">
        <w:t xml:space="preserve"> sedan våren 2019</w:t>
      </w:r>
      <w:r w:rsidRPr="007F3036">
        <w:t>, Hello Sw</w:t>
      </w:r>
      <w:r w:rsidR="007F3036" w:rsidRPr="007F3036">
        <w:t>eden, Svenska Fotbollförbundet</w:t>
      </w:r>
      <w:r w:rsidRPr="007F3036">
        <w:t xml:space="preserve"> och en rad projekt som finns på universitet och högskolor runtom i landet.</w:t>
      </w:r>
    </w:p>
    <w:p w14:paraId="6CA61065" w14:textId="77777777" w:rsidR="00114220" w:rsidRPr="007F3036" w:rsidRDefault="00114220" w:rsidP="00485594">
      <w:pPr>
        <w:pStyle w:val="Rubrik1"/>
        <w:numPr>
          <w:ilvl w:val="0"/>
          <w:numId w:val="16"/>
        </w:numPr>
        <w:rPr>
          <w:color w:val="000000" w:themeColor="text1"/>
        </w:rPr>
      </w:pPr>
      <w:bookmarkStart w:id="18" w:name="_Toc34657541"/>
      <w:r w:rsidRPr="007F3036">
        <w:rPr>
          <w:color w:val="000000" w:themeColor="text1"/>
        </w:rPr>
        <w:t>Resultat</w:t>
      </w:r>
      <w:bookmarkEnd w:id="18"/>
    </w:p>
    <w:p w14:paraId="39CFE6D5" w14:textId="77777777" w:rsidR="00114220" w:rsidRPr="00EA6971" w:rsidRDefault="00114220" w:rsidP="009A1208">
      <w:pPr>
        <w:pStyle w:val="Rubrik2"/>
        <w:numPr>
          <w:ilvl w:val="1"/>
          <w:numId w:val="12"/>
        </w:numPr>
        <w:rPr>
          <w:color w:val="000000" w:themeColor="text1"/>
        </w:rPr>
      </w:pPr>
      <w:bookmarkStart w:id="19" w:name="_Toc34657542"/>
      <w:r w:rsidRPr="00EA6971">
        <w:rPr>
          <w:color w:val="000000" w:themeColor="text1"/>
        </w:rPr>
        <w:t>Resultat ekonomi</w:t>
      </w:r>
      <w:bookmarkEnd w:id="19"/>
    </w:p>
    <w:p w14:paraId="707E6A8C" w14:textId="77777777" w:rsidR="009214A2" w:rsidRDefault="009214A2" w:rsidP="009214A2">
      <w:pPr>
        <w:pStyle w:val="Liststycke"/>
        <w:ind w:left="360"/>
      </w:pPr>
      <w:r>
        <w:t xml:space="preserve">Det ekonomiska hållbarhetsmålet anger att vi ska nå en vinstmarginal på 2,2 procent och ha en soliditet på 20 procent. </w:t>
      </w:r>
      <w:r w:rsidRPr="009214A2">
        <w:rPr>
          <w:color w:val="000000" w:themeColor="text1"/>
        </w:rPr>
        <w:t>Soliditeten för Hertz är 28 procent och för Bilreda 7 procent. Vi behåller vår position som marknadsledande och vår omsättning fortsätter att öka över tid, vilket är positivt. Ökat resande i samtliga segment har gett oss en volymökning. Vi fortsätter vårt arbete med att se över kostnader relaterade till flottan och arbetar också med att se över inköpsprocessen och avtal med leverantörer för att minska vår kostnadsmassa. För ytterligare upplysningar avseende FRAC</w:t>
      </w:r>
      <w:r>
        <w:t>:s utgifter fördelade på intressentgrupper, se respektive bolags årsredovisningar.</w:t>
      </w:r>
    </w:p>
    <w:tbl>
      <w:tblPr>
        <w:tblW w:w="6818" w:type="dxa"/>
        <w:tblInd w:w="421" w:type="dxa"/>
        <w:tblCellMar>
          <w:left w:w="70" w:type="dxa"/>
          <w:right w:w="70" w:type="dxa"/>
        </w:tblCellMar>
        <w:tblLook w:val="04A0" w:firstRow="1" w:lastRow="0" w:firstColumn="1" w:lastColumn="0" w:noHBand="0" w:noVBand="1"/>
      </w:tblPr>
      <w:tblGrid>
        <w:gridCol w:w="2835"/>
        <w:gridCol w:w="941"/>
        <w:gridCol w:w="1058"/>
        <w:gridCol w:w="992"/>
        <w:gridCol w:w="992"/>
      </w:tblGrid>
      <w:tr w:rsidR="0077385B" w:rsidRPr="00CA0504" w14:paraId="3203339F" w14:textId="77777777" w:rsidTr="0077385B">
        <w:trPr>
          <w:trHeight w:val="164"/>
        </w:trPr>
        <w:tc>
          <w:tcPr>
            <w:tcW w:w="283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8057B06" w14:textId="77777777" w:rsidR="0077385B" w:rsidRPr="00CA0504" w:rsidRDefault="0077385B" w:rsidP="005260BD">
            <w:pPr>
              <w:spacing w:after="0" w:line="240" w:lineRule="auto"/>
              <w:rPr>
                <w:rFonts w:eastAsia="Times New Roman" w:cs="Arial"/>
                <w:b/>
                <w:bCs/>
                <w:sz w:val="24"/>
                <w:szCs w:val="24"/>
                <w:lang w:eastAsia="sv-SE"/>
              </w:rPr>
            </w:pPr>
            <w:r w:rsidRPr="00CA0504">
              <w:rPr>
                <w:rFonts w:eastAsia="Times New Roman" w:cs="Arial"/>
                <w:b/>
                <w:bCs/>
                <w:sz w:val="24"/>
                <w:szCs w:val="24"/>
                <w:lang w:eastAsia="sv-SE"/>
              </w:rPr>
              <w:t> Nyckeltal Hertz (tkr)</w:t>
            </w:r>
          </w:p>
        </w:tc>
        <w:tc>
          <w:tcPr>
            <w:tcW w:w="941" w:type="dxa"/>
            <w:tcBorders>
              <w:top w:val="single" w:sz="4" w:space="0" w:color="auto"/>
              <w:left w:val="nil"/>
              <w:bottom w:val="single" w:sz="4" w:space="0" w:color="auto"/>
              <w:right w:val="single" w:sz="4" w:space="0" w:color="auto"/>
            </w:tcBorders>
            <w:shd w:val="clear" w:color="000000" w:fill="FFC000"/>
            <w:noWrap/>
            <w:vAlign w:val="bottom"/>
            <w:hideMark/>
          </w:tcPr>
          <w:p w14:paraId="254D455C" w14:textId="5760534F" w:rsidR="0077385B" w:rsidRPr="00CA0504" w:rsidRDefault="009214A2" w:rsidP="005260BD">
            <w:pPr>
              <w:spacing w:after="0" w:line="240" w:lineRule="auto"/>
              <w:jc w:val="right"/>
              <w:rPr>
                <w:rFonts w:eastAsia="Times New Roman" w:cs="Arial"/>
                <w:b/>
                <w:bCs/>
                <w:sz w:val="24"/>
                <w:szCs w:val="24"/>
                <w:lang w:eastAsia="sv-SE"/>
              </w:rPr>
            </w:pPr>
            <w:r>
              <w:rPr>
                <w:rFonts w:eastAsia="Times New Roman" w:cs="Arial"/>
                <w:b/>
                <w:bCs/>
                <w:sz w:val="24"/>
                <w:szCs w:val="24"/>
                <w:lang w:eastAsia="sv-SE"/>
              </w:rPr>
              <w:t>2016</w:t>
            </w:r>
          </w:p>
        </w:tc>
        <w:tc>
          <w:tcPr>
            <w:tcW w:w="1058" w:type="dxa"/>
            <w:tcBorders>
              <w:top w:val="single" w:sz="4" w:space="0" w:color="auto"/>
              <w:left w:val="nil"/>
              <w:bottom w:val="single" w:sz="4" w:space="0" w:color="auto"/>
              <w:right w:val="single" w:sz="4" w:space="0" w:color="auto"/>
            </w:tcBorders>
            <w:shd w:val="clear" w:color="000000" w:fill="FFC000"/>
            <w:noWrap/>
            <w:vAlign w:val="bottom"/>
            <w:hideMark/>
          </w:tcPr>
          <w:p w14:paraId="206AAC65" w14:textId="4343EDBE" w:rsidR="0077385B" w:rsidRPr="00CA0504" w:rsidRDefault="009214A2" w:rsidP="005260BD">
            <w:pPr>
              <w:spacing w:after="0" w:line="240" w:lineRule="auto"/>
              <w:jc w:val="right"/>
              <w:rPr>
                <w:rFonts w:eastAsia="Times New Roman" w:cs="Arial"/>
                <w:b/>
                <w:bCs/>
                <w:sz w:val="24"/>
                <w:szCs w:val="24"/>
                <w:lang w:eastAsia="sv-SE"/>
              </w:rPr>
            </w:pPr>
            <w:r>
              <w:rPr>
                <w:rFonts w:eastAsia="Times New Roman" w:cs="Arial"/>
                <w:b/>
                <w:bCs/>
                <w:sz w:val="24"/>
                <w:szCs w:val="24"/>
                <w:lang w:eastAsia="sv-SE"/>
              </w:rPr>
              <w:t>2017</w:t>
            </w:r>
          </w:p>
        </w:tc>
        <w:tc>
          <w:tcPr>
            <w:tcW w:w="992" w:type="dxa"/>
            <w:tcBorders>
              <w:top w:val="single" w:sz="4" w:space="0" w:color="auto"/>
              <w:left w:val="nil"/>
              <w:bottom w:val="single" w:sz="4" w:space="0" w:color="auto"/>
              <w:right w:val="single" w:sz="4" w:space="0" w:color="auto"/>
            </w:tcBorders>
            <w:shd w:val="clear" w:color="000000" w:fill="FFC000"/>
            <w:noWrap/>
            <w:vAlign w:val="bottom"/>
          </w:tcPr>
          <w:p w14:paraId="37646D97" w14:textId="6576E5C6" w:rsidR="0077385B" w:rsidRPr="00CA0504" w:rsidRDefault="009214A2" w:rsidP="005260BD">
            <w:pPr>
              <w:spacing w:after="0" w:line="240" w:lineRule="auto"/>
              <w:jc w:val="right"/>
              <w:rPr>
                <w:rFonts w:eastAsia="Times New Roman" w:cs="Arial"/>
                <w:b/>
                <w:bCs/>
                <w:sz w:val="24"/>
                <w:szCs w:val="24"/>
                <w:lang w:eastAsia="sv-SE"/>
              </w:rPr>
            </w:pPr>
            <w:r>
              <w:rPr>
                <w:rFonts w:eastAsia="Times New Roman" w:cs="Arial"/>
                <w:b/>
                <w:bCs/>
                <w:sz w:val="24"/>
                <w:szCs w:val="24"/>
                <w:lang w:eastAsia="sv-SE"/>
              </w:rPr>
              <w:t>2018</w:t>
            </w:r>
          </w:p>
        </w:tc>
        <w:tc>
          <w:tcPr>
            <w:tcW w:w="992" w:type="dxa"/>
            <w:tcBorders>
              <w:top w:val="single" w:sz="4" w:space="0" w:color="auto"/>
              <w:left w:val="nil"/>
              <w:bottom w:val="single" w:sz="4" w:space="0" w:color="auto"/>
              <w:right w:val="single" w:sz="4" w:space="0" w:color="auto"/>
            </w:tcBorders>
            <w:shd w:val="clear" w:color="000000" w:fill="FFC000"/>
          </w:tcPr>
          <w:p w14:paraId="22CD1DF6" w14:textId="17D93D51" w:rsidR="0077385B" w:rsidRPr="00CA0504" w:rsidRDefault="009214A2" w:rsidP="005260BD">
            <w:pPr>
              <w:spacing w:after="0" w:line="240" w:lineRule="auto"/>
              <w:jc w:val="right"/>
              <w:rPr>
                <w:rFonts w:eastAsia="Times New Roman" w:cs="Arial"/>
                <w:b/>
                <w:bCs/>
                <w:sz w:val="24"/>
                <w:szCs w:val="24"/>
                <w:lang w:eastAsia="sv-SE"/>
              </w:rPr>
            </w:pPr>
            <w:r>
              <w:rPr>
                <w:rFonts w:eastAsia="Times New Roman" w:cs="Arial"/>
                <w:b/>
                <w:bCs/>
                <w:sz w:val="24"/>
                <w:szCs w:val="24"/>
                <w:lang w:eastAsia="sv-SE"/>
              </w:rPr>
              <w:t>2019</w:t>
            </w:r>
          </w:p>
        </w:tc>
      </w:tr>
      <w:tr w:rsidR="009214A2" w:rsidRPr="00CA0504" w14:paraId="043A437A" w14:textId="77777777" w:rsidTr="002505ED">
        <w:trPr>
          <w:trHeight w:val="16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FE018A7" w14:textId="77777777" w:rsidR="009214A2" w:rsidRPr="00CA0504" w:rsidRDefault="009214A2" w:rsidP="009214A2">
            <w:pPr>
              <w:spacing w:after="0" w:line="240" w:lineRule="auto"/>
              <w:rPr>
                <w:sz w:val="24"/>
                <w:szCs w:val="24"/>
              </w:rPr>
            </w:pPr>
            <w:r w:rsidRPr="00CA0504">
              <w:rPr>
                <w:sz w:val="24"/>
                <w:szCs w:val="24"/>
              </w:rPr>
              <w:t>Nettoomsättning</w:t>
            </w:r>
          </w:p>
        </w:tc>
        <w:tc>
          <w:tcPr>
            <w:tcW w:w="941" w:type="dxa"/>
            <w:tcBorders>
              <w:top w:val="nil"/>
              <w:left w:val="nil"/>
              <w:bottom w:val="single" w:sz="4" w:space="0" w:color="auto"/>
              <w:right w:val="single" w:sz="4" w:space="0" w:color="auto"/>
            </w:tcBorders>
            <w:shd w:val="clear" w:color="auto" w:fill="auto"/>
            <w:noWrap/>
            <w:vAlign w:val="bottom"/>
          </w:tcPr>
          <w:p w14:paraId="131E99DC" w14:textId="26957648" w:rsidR="009214A2" w:rsidRPr="00CA0504" w:rsidRDefault="009214A2" w:rsidP="009214A2">
            <w:pPr>
              <w:spacing w:after="0" w:line="240" w:lineRule="auto"/>
              <w:jc w:val="right"/>
              <w:rPr>
                <w:sz w:val="24"/>
                <w:szCs w:val="24"/>
              </w:rPr>
            </w:pPr>
            <w:r w:rsidRPr="00CA0504">
              <w:rPr>
                <w:sz w:val="24"/>
                <w:szCs w:val="24"/>
              </w:rPr>
              <w:t>514</w:t>
            </w:r>
            <w:r>
              <w:rPr>
                <w:sz w:val="24"/>
                <w:szCs w:val="24"/>
              </w:rPr>
              <w:t> </w:t>
            </w:r>
            <w:r w:rsidRPr="00CA0504">
              <w:rPr>
                <w:sz w:val="24"/>
                <w:szCs w:val="24"/>
              </w:rPr>
              <w:t>800</w:t>
            </w:r>
          </w:p>
        </w:tc>
        <w:tc>
          <w:tcPr>
            <w:tcW w:w="1058" w:type="dxa"/>
            <w:tcBorders>
              <w:top w:val="nil"/>
              <w:left w:val="nil"/>
              <w:bottom w:val="single" w:sz="4" w:space="0" w:color="auto"/>
              <w:right w:val="single" w:sz="4" w:space="0" w:color="auto"/>
            </w:tcBorders>
            <w:shd w:val="clear" w:color="auto" w:fill="auto"/>
            <w:noWrap/>
          </w:tcPr>
          <w:p w14:paraId="18014293" w14:textId="5088D878" w:rsidR="009214A2" w:rsidRPr="00CA0504" w:rsidRDefault="009214A2" w:rsidP="009214A2">
            <w:pPr>
              <w:spacing w:after="0" w:line="240" w:lineRule="auto"/>
              <w:jc w:val="right"/>
              <w:rPr>
                <w:sz w:val="24"/>
                <w:szCs w:val="24"/>
              </w:rPr>
            </w:pPr>
            <w:r w:rsidRPr="00CA0504">
              <w:rPr>
                <w:sz w:val="24"/>
                <w:szCs w:val="24"/>
              </w:rPr>
              <w:t>552</w:t>
            </w:r>
            <w:r>
              <w:rPr>
                <w:sz w:val="24"/>
                <w:szCs w:val="24"/>
              </w:rPr>
              <w:t> </w:t>
            </w:r>
            <w:r w:rsidRPr="00CA0504">
              <w:rPr>
                <w:sz w:val="24"/>
                <w:szCs w:val="24"/>
              </w:rPr>
              <w:t>200</w:t>
            </w:r>
          </w:p>
        </w:tc>
        <w:tc>
          <w:tcPr>
            <w:tcW w:w="992" w:type="dxa"/>
            <w:tcBorders>
              <w:top w:val="nil"/>
              <w:left w:val="nil"/>
              <w:bottom w:val="single" w:sz="4" w:space="0" w:color="auto"/>
              <w:right w:val="single" w:sz="4" w:space="0" w:color="auto"/>
            </w:tcBorders>
            <w:shd w:val="clear" w:color="auto" w:fill="auto"/>
            <w:noWrap/>
          </w:tcPr>
          <w:p w14:paraId="0363B6FB" w14:textId="2EE7AF25" w:rsidR="009214A2" w:rsidRPr="00CA0504" w:rsidRDefault="009214A2" w:rsidP="009214A2">
            <w:pPr>
              <w:spacing w:after="0" w:line="240" w:lineRule="auto"/>
              <w:jc w:val="right"/>
              <w:rPr>
                <w:sz w:val="24"/>
                <w:szCs w:val="24"/>
              </w:rPr>
            </w:pPr>
            <w:r w:rsidRPr="00CA0504">
              <w:rPr>
                <w:sz w:val="24"/>
                <w:szCs w:val="24"/>
              </w:rPr>
              <w:t>625 800</w:t>
            </w:r>
          </w:p>
        </w:tc>
        <w:tc>
          <w:tcPr>
            <w:tcW w:w="992" w:type="dxa"/>
            <w:tcBorders>
              <w:top w:val="nil"/>
              <w:left w:val="nil"/>
              <w:bottom w:val="single" w:sz="4" w:space="0" w:color="auto"/>
              <w:right w:val="single" w:sz="4" w:space="0" w:color="auto"/>
            </w:tcBorders>
            <w:vAlign w:val="bottom"/>
          </w:tcPr>
          <w:p w14:paraId="236F69CB" w14:textId="63F561CD" w:rsidR="009214A2" w:rsidRPr="009214A2" w:rsidRDefault="009214A2" w:rsidP="009214A2">
            <w:pPr>
              <w:spacing w:after="0" w:line="240" w:lineRule="auto"/>
              <w:jc w:val="right"/>
              <w:rPr>
                <w:color w:val="000000" w:themeColor="text1"/>
                <w:sz w:val="24"/>
                <w:szCs w:val="24"/>
              </w:rPr>
            </w:pPr>
            <w:r w:rsidRPr="009214A2">
              <w:rPr>
                <w:color w:val="000000" w:themeColor="text1"/>
                <w:sz w:val="24"/>
                <w:szCs w:val="24"/>
              </w:rPr>
              <w:t>644 700</w:t>
            </w:r>
          </w:p>
        </w:tc>
      </w:tr>
      <w:tr w:rsidR="009214A2" w:rsidRPr="00CA0504" w14:paraId="7BBF8044" w14:textId="77777777" w:rsidTr="002505ED">
        <w:trPr>
          <w:trHeight w:val="16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A3B51AC" w14:textId="77777777" w:rsidR="009214A2" w:rsidRPr="00CA0504" w:rsidRDefault="009214A2" w:rsidP="009214A2">
            <w:pPr>
              <w:spacing w:after="0" w:line="240" w:lineRule="auto"/>
              <w:rPr>
                <w:sz w:val="24"/>
                <w:szCs w:val="24"/>
              </w:rPr>
            </w:pPr>
            <w:r w:rsidRPr="00CA0504">
              <w:rPr>
                <w:sz w:val="24"/>
                <w:szCs w:val="24"/>
              </w:rPr>
              <w:t>Resultat efter finansiella poster*</w:t>
            </w:r>
          </w:p>
        </w:tc>
        <w:tc>
          <w:tcPr>
            <w:tcW w:w="941" w:type="dxa"/>
            <w:tcBorders>
              <w:top w:val="nil"/>
              <w:left w:val="nil"/>
              <w:bottom w:val="single" w:sz="4" w:space="0" w:color="auto"/>
              <w:right w:val="single" w:sz="4" w:space="0" w:color="auto"/>
            </w:tcBorders>
            <w:shd w:val="clear" w:color="auto" w:fill="auto"/>
            <w:noWrap/>
            <w:vAlign w:val="bottom"/>
          </w:tcPr>
          <w:p w14:paraId="60B90FB8" w14:textId="6C264E75" w:rsidR="009214A2" w:rsidRPr="00CA0504" w:rsidRDefault="009214A2" w:rsidP="009214A2">
            <w:pPr>
              <w:spacing w:after="0" w:line="240" w:lineRule="auto"/>
              <w:jc w:val="right"/>
              <w:rPr>
                <w:sz w:val="24"/>
                <w:szCs w:val="24"/>
              </w:rPr>
            </w:pPr>
            <w:r w:rsidRPr="00CA0504">
              <w:rPr>
                <w:sz w:val="24"/>
                <w:szCs w:val="24"/>
              </w:rPr>
              <w:t>2 900</w:t>
            </w:r>
          </w:p>
        </w:tc>
        <w:tc>
          <w:tcPr>
            <w:tcW w:w="1058" w:type="dxa"/>
            <w:tcBorders>
              <w:top w:val="nil"/>
              <w:left w:val="nil"/>
              <w:bottom w:val="single" w:sz="4" w:space="0" w:color="auto"/>
              <w:right w:val="single" w:sz="4" w:space="0" w:color="auto"/>
            </w:tcBorders>
            <w:shd w:val="clear" w:color="auto" w:fill="auto"/>
            <w:noWrap/>
          </w:tcPr>
          <w:p w14:paraId="74457B7E" w14:textId="77777777" w:rsidR="009214A2" w:rsidRPr="00CA0504" w:rsidRDefault="009214A2" w:rsidP="009214A2">
            <w:pPr>
              <w:spacing w:after="0" w:line="240" w:lineRule="auto"/>
              <w:jc w:val="right"/>
              <w:rPr>
                <w:sz w:val="24"/>
                <w:szCs w:val="24"/>
              </w:rPr>
            </w:pPr>
          </w:p>
          <w:p w14:paraId="369CF6B0" w14:textId="289F78A0" w:rsidR="009214A2" w:rsidRPr="00CA0504" w:rsidRDefault="009214A2" w:rsidP="009214A2">
            <w:pPr>
              <w:spacing w:after="0" w:line="240" w:lineRule="auto"/>
              <w:jc w:val="right"/>
              <w:rPr>
                <w:sz w:val="24"/>
                <w:szCs w:val="24"/>
              </w:rPr>
            </w:pPr>
            <w:r w:rsidRPr="00CA0504">
              <w:rPr>
                <w:sz w:val="24"/>
                <w:szCs w:val="24"/>
              </w:rPr>
              <w:t>21 000</w:t>
            </w:r>
          </w:p>
        </w:tc>
        <w:tc>
          <w:tcPr>
            <w:tcW w:w="992" w:type="dxa"/>
            <w:tcBorders>
              <w:top w:val="nil"/>
              <w:left w:val="nil"/>
              <w:bottom w:val="single" w:sz="4" w:space="0" w:color="auto"/>
              <w:right w:val="single" w:sz="4" w:space="0" w:color="auto"/>
            </w:tcBorders>
            <w:shd w:val="clear" w:color="auto" w:fill="auto"/>
            <w:noWrap/>
          </w:tcPr>
          <w:p w14:paraId="0936F609" w14:textId="77777777" w:rsidR="009214A2" w:rsidRPr="00CA0504" w:rsidRDefault="009214A2" w:rsidP="009214A2">
            <w:pPr>
              <w:spacing w:after="0" w:line="240" w:lineRule="auto"/>
              <w:jc w:val="right"/>
              <w:rPr>
                <w:sz w:val="24"/>
                <w:szCs w:val="24"/>
              </w:rPr>
            </w:pPr>
          </w:p>
          <w:p w14:paraId="3EB0868B" w14:textId="1C8977B6" w:rsidR="009214A2" w:rsidRPr="00CA0504" w:rsidRDefault="009214A2" w:rsidP="009214A2">
            <w:pPr>
              <w:spacing w:after="0" w:line="240" w:lineRule="auto"/>
              <w:jc w:val="right"/>
              <w:rPr>
                <w:sz w:val="24"/>
                <w:szCs w:val="24"/>
              </w:rPr>
            </w:pPr>
            <w:r w:rsidRPr="00CA0504">
              <w:rPr>
                <w:sz w:val="24"/>
                <w:szCs w:val="24"/>
              </w:rPr>
              <w:t>11 437</w:t>
            </w:r>
          </w:p>
        </w:tc>
        <w:tc>
          <w:tcPr>
            <w:tcW w:w="992" w:type="dxa"/>
            <w:tcBorders>
              <w:top w:val="nil"/>
              <w:left w:val="nil"/>
              <w:bottom w:val="single" w:sz="4" w:space="0" w:color="auto"/>
              <w:right w:val="single" w:sz="4" w:space="0" w:color="auto"/>
            </w:tcBorders>
            <w:vAlign w:val="bottom"/>
          </w:tcPr>
          <w:p w14:paraId="15265CB6" w14:textId="57B5DCDF" w:rsidR="009214A2" w:rsidRPr="009214A2" w:rsidRDefault="009214A2" w:rsidP="009214A2">
            <w:pPr>
              <w:spacing w:after="0" w:line="240" w:lineRule="auto"/>
              <w:jc w:val="right"/>
              <w:rPr>
                <w:color w:val="000000" w:themeColor="text1"/>
                <w:sz w:val="24"/>
                <w:szCs w:val="24"/>
              </w:rPr>
            </w:pPr>
            <w:r w:rsidRPr="009214A2">
              <w:rPr>
                <w:color w:val="000000" w:themeColor="text1"/>
                <w:sz w:val="24"/>
                <w:szCs w:val="24"/>
              </w:rPr>
              <w:t>12 767</w:t>
            </w:r>
          </w:p>
        </w:tc>
      </w:tr>
      <w:tr w:rsidR="009214A2" w:rsidRPr="00CA0504" w14:paraId="53B7140E" w14:textId="77777777" w:rsidTr="002505ED">
        <w:trPr>
          <w:trHeight w:val="16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CA89BD9" w14:textId="77777777" w:rsidR="009214A2" w:rsidRPr="00CA0504" w:rsidRDefault="009214A2" w:rsidP="009214A2">
            <w:pPr>
              <w:spacing w:after="0" w:line="240" w:lineRule="auto"/>
              <w:rPr>
                <w:sz w:val="24"/>
                <w:szCs w:val="24"/>
              </w:rPr>
            </w:pPr>
            <w:r w:rsidRPr="00CA0504">
              <w:rPr>
                <w:sz w:val="24"/>
                <w:szCs w:val="24"/>
              </w:rPr>
              <w:t>Resultat före skatt</w:t>
            </w:r>
          </w:p>
        </w:tc>
        <w:tc>
          <w:tcPr>
            <w:tcW w:w="941" w:type="dxa"/>
            <w:tcBorders>
              <w:top w:val="nil"/>
              <w:left w:val="nil"/>
              <w:bottom w:val="single" w:sz="4" w:space="0" w:color="auto"/>
              <w:right w:val="single" w:sz="4" w:space="0" w:color="auto"/>
            </w:tcBorders>
            <w:shd w:val="clear" w:color="auto" w:fill="auto"/>
            <w:noWrap/>
            <w:vAlign w:val="bottom"/>
          </w:tcPr>
          <w:p w14:paraId="6B6FCA71" w14:textId="149CDD49" w:rsidR="009214A2" w:rsidRPr="00CA0504" w:rsidRDefault="009214A2" w:rsidP="009214A2">
            <w:pPr>
              <w:spacing w:after="0" w:line="240" w:lineRule="auto"/>
              <w:jc w:val="right"/>
              <w:rPr>
                <w:sz w:val="24"/>
                <w:szCs w:val="24"/>
              </w:rPr>
            </w:pPr>
            <w:r w:rsidRPr="00CA0504">
              <w:rPr>
                <w:sz w:val="24"/>
                <w:szCs w:val="24"/>
              </w:rPr>
              <w:t>17479</w:t>
            </w:r>
          </w:p>
        </w:tc>
        <w:tc>
          <w:tcPr>
            <w:tcW w:w="1058" w:type="dxa"/>
            <w:tcBorders>
              <w:top w:val="nil"/>
              <w:left w:val="nil"/>
              <w:bottom w:val="single" w:sz="4" w:space="0" w:color="auto"/>
              <w:right w:val="single" w:sz="4" w:space="0" w:color="auto"/>
            </w:tcBorders>
            <w:shd w:val="clear" w:color="auto" w:fill="auto"/>
            <w:noWrap/>
          </w:tcPr>
          <w:p w14:paraId="3AB63F92" w14:textId="08E362AD" w:rsidR="009214A2" w:rsidRPr="00CA0504" w:rsidRDefault="009214A2" w:rsidP="009214A2">
            <w:pPr>
              <w:spacing w:after="0" w:line="240" w:lineRule="auto"/>
              <w:jc w:val="right"/>
              <w:rPr>
                <w:sz w:val="24"/>
                <w:szCs w:val="24"/>
              </w:rPr>
            </w:pPr>
            <w:r w:rsidRPr="00CA0504">
              <w:rPr>
                <w:sz w:val="24"/>
                <w:szCs w:val="24"/>
              </w:rPr>
              <w:t>19932</w:t>
            </w:r>
          </w:p>
        </w:tc>
        <w:tc>
          <w:tcPr>
            <w:tcW w:w="992" w:type="dxa"/>
            <w:tcBorders>
              <w:top w:val="nil"/>
              <w:left w:val="nil"/>
              <w:bottom w:val="single" w:sz="4" w:space="0" w:color="auto"/>
              <w:right w:val="single" w:sz="4" w:space="0" w:color="auto"/>
            </w:tcBorders>
            <w:shd w:val="clear" w:color="auto" w:fill="auto"/>
            <w:noWrap/>
          </w:tcPr>
          <w:p w14:paraId="7CB19AE1" w14:textId="60C23CAF" w:rsidR="009214A2" w:rsidRPr="00CA0504" w:rsidRDefault="009214A2" w:rsidP="009214A2">
            <w:pPr>
              <w:spacing w:after="0" w:line="240" w:lineRule="auto"/>
              <w:jc w:val="right"/>
              <w:rPr>
                <w:sz w:val="24"/>
                <w:szCs w:val="24"/>
              </w:rPr>
            </w:pPr>
            <w:r w:rsidRPr="00CA0504">
              <w:rPr>
                <w:sz w:val="24"/>
                <w:szCs w:val="24"/>
              </w:rPr>
              <w:t>7746</w:t>
            </w:r>
          </w:p>
        </w:tc>
        <w:tc>
          <w:tcPr>
            <w:tcW w:w="992" w:type="dxa"/>
            <w:tcBorders>
              <w:top w:val="nil"/>
              <w:left w:val="nil"/>
              <w:bottom w:val="single" w:sz="4" w:space="0" w:color="auto"/>
              <w:right w:val="single" w:sz="4" w:space="0" w:color="auto"/>
            </w:tcBorders>
            <w:vAlign w:val="bottom"/>
          </w:tcPr>
          <w:p w14:paraId="448F9795" w14:textId="76E74A53" w:rsidR="009214A2" w:rsidRPr="009214A2" w:rsidRDefault="009214A2" w:rsidP="009214A2">
            <w:pPr>
              <w:spacing w:after="0" w:line="240" w:lineRule="auto"/>
              <w:jc w:val="right"/>
              <w:rPr>
                <w:color w:val="000000" w:themeColor="text1"/>
                <w:sz w:val="24"/>
                <w:szCs w:val="24"/>
              </w:rPr>
            </w:pPr>
            <w:r w:rsidRPr="009214A2">
              <w:rPr>
                <w:color w:val="000000" w:themeColor="text1"/>
                <w:sz w:val="24"/>
                <w:szCs w:val="24"/>
              </w:rPr>
              <w:t>307</w:t>
            </w:r>
          </w:p>
        </w:tc>
      </w:tr>
      <w:tr w:rsidR="009214A2" w:rsidRPr="00BE7EBD" w14:paraId="00D37F54" w14:textId="77777777" w:rsidTr="002505ED">
        <w:trPr>
          <w:trHeight w:val="164"/>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18950A0" w14:textId="77777777" w:rsidR="009214A2" w:rsidRPr="00CA0504" w:rsidRDefault="009214A2" w:rsidP="009214A2">
            <w:pPr>
              <w:spacing w:after="0" w:line="240" w:lineRule="auto"/>
              <w:rPr>
                <w:sz w:val="24"/>
                <w:szCs w:val="24"/>
              </w:rPr>
            </w:pPr>
            <w:r w:rsidRPr="00CA0504">
              <w:rPr>
                <w:sz w:val="24"/>
                <w:szCs w:val="24"/>
              </w:rPr>
              <w:t>Årets resultat</w:t>
            </w:r>
          </w:p>
        </w:tc>
        <w:tc>
          <w:tcPr>
            <w:tcW w:w="941" w:type="dxa"/>
            <w:tcBorders>
              <w:top w:val="nil"/>
              <w:left w:val="nil"/>
              <w:bottom w:val="single" w:sz="4" w:space="0" w:color="auto"/>
              <w:right w:val="single" w:sz="4" w:space="0" w:color="auto"/>
            </w:tcBorders>
            <w:shd w:val="clear" w:color="auto" w:fill="auto"/>
            <w:noWrap/>
            <w:vAlign w:val="bottom"/>
          </w:tcPr>
          <w:p w14:paraId="7BE6E768" w14:textId="60E2056C" w:rsidR="009214A2" w:rsidRPr="00CA0504" w:rsidRDefault="009214A2" w:rsidP="009214A2">
            <w:pPr>
              <w:spacing w:after="0" w:line="240" w:lineRule="auto"/>
              <w:jc w:val="right"/>
              <w:rPr>
                <w:sz w:val="24"/>
                <w:szCs w:val="24"/>
              </w:rPr>
            </w:pPr>
            <w:r w:rsidRPr="00CA0504">
              <w:rPr>
                <w:sz w:val="24"/>
                <w:szCs w:val="24"/>
              </w:rPr>
              <w:t>17479</w:t>
            </w:r>
          </w:p>
        </w:tc>
        <w:tc>
          <w:tcPr>
            <w:tcW w:w="1058" w:type="dxa"/>
            <w:tcBorders>
              <w:top w:val="nil"/>
              <w:left w:val="nil"/>
              <w:bottom w:val="single" w:sz="4" w:space="0" w:color="auto"/>
              <w:right w:val="single" w:sz="4" w:space="0" w:color="auto"/>
            </w:tcBorders>
            <w:shd w:val="clear" w:color="auto" w:fill="auto"/>
            <w:noWrap/>
          </w:tcPr>
          <w:p w14:paraId="64488674" w14:textId="164D4471" w:rsidR="009214A2" w:rsidRPr="00CA0504" w:rsidRDefault="009214A2" w:rsidP="009214A2">
            <w:pPr>
              <w:spacing w:after="0" w:line="240" w:lineRule="auto"/>
              <w:jc w:val="right"/>
              <w:rPr>
                <w:sz w:val="24"/>
                <w:szCs w:val="24"/>
              </w:rPr>
            </w:pPr>
            <w:r w:rsidRPr="00CA0504">
              <w:rPr>
                <w:sz w:val="24"/>
                <w:szCs w:val="24"/>
              </w:rPr>
              <w:t>19214</w:t>
            </w:r>
          </w:p>
        </w:tc>
        <w:tc>
          <w:tcPr>
            <w:tcW w:w="992" w:type="dxa"/>
            <w:tcBorders>
              <w:top w:val="nil"/>
              <w:left w:val="nil"/>
              <w:bottom w:val="single" w:sz="4" w:space="0" w:color="auto"/>
              <w:right w:val="single" w:sz="4" w:space="0" w:color="auto"/>
            </w:tcBorders>
            <w:shd w:val="clear" w:color="auto" w:fill="auto"/>
            <w:noWrap/>
          </w:tcPr>
          <w:p w14:paraId="4D5AEBC7" w14:textId="169EEEED" w:rsidR="009214A2" w:rsidRPr="00CA0504" w:rsidRDefault="009214A2" w:rsidP="009214A2">
            <w:pPr>
              <w:spacing w:after="0" w:line="240" w:lineRule="auto"/>
              <w:jc w:val="right"/>
              <w:rPr>
                <w:sz w:val="24"/>
                <w:szCs w:val="24"/>
              </w:rPr>
            </w:pPr>
            <w:r w:rsidRPr="00CA0504">
              <w:rPr>
                <w:sz w:val="24"/>
                <w:szCs w:val="24"/>
              </w:rPr>
              <w:t>7507</w:t>
            </w:r>
          </w:p>
        </w:tc>
        <w:tc>
          <w:tcPr>
            <w:tcW w:w="992" w:type="dxa"/>
            <w:tcBorders>
              <w:top w:val="nil"/>
              <w:left w:val="nil"/>
              <w:bottom w:val="single" w:sz="4" w:space="0" w:color="auto"/>
              <w:right w:val="single" w:sz="4" w:space="0" w:color="auto"/>
            </w:tcBorders>
            <w:vAlign w:val="bottom"/>
          </w:tcPr>
          <w:p w14:paraId="341410C1" w14:textId="221B40E6" w:rsidR="009214A2" w:rsidRPr="009214A2" w:rsidRDefault="009214A2" w:rsidP="009214A2">
            <w:pPr>
              <w:spacing w:after="0" w:line="240" w:lineRule="auto"/>
              <w:jc w:val="right"/>
              <w:rPr>
                <w:color w:val="000000" w:themeColor="text1"/>
                <w:sz w:val="24"/>
                <w:szCs w:val="24"/>
              </w:rPr>
            </w:pPr>
            <w:r w:rsidRPr="009214A2">
              <w:rPr>
                <w:color w:val="000000" w:themeColor="text1"/>
                <w:sz w:val="24"/>
                <w:szCs w:val="24"/>
              </w:rPr>
              <w:t>307</w:t>
            </w:r>
          </w:p>
        </w:tc>
      </w:tr>
    </w:tbl>
    <w:p w14:paraId="4CC86A5E" w14:textId="77777777" w:rsidR="005D26AF" w:rsidRPr="00BE7EBD" w:rsidRDefault="005D26AF" w:rsidP="00C316EC">
      <w:pPr>
        <w:ind w:left="360"/>
        <w:rPr>
          <w:highlight w:val="yellow"/>
        </w:rPr>
      </w:pPr>
    </w:p>
    <w:tbl>
      <w:tblPr>
        <w:tblW w:w="6703" w:type="dxa"/>
        <w:tblInd w:w="421" w:type="dxa"/>
        <w:tblCellMar>
          <w:left w:w="70" w:type="dxa"/>
          <w:right w:w="70" w:type="dxa"/>
        </w:tblCellMar>
        <w:tblLook w:val="04A0" w:firstRow="1" w:lastRow="0" w:firstColumn="1" w:lastColumn="0" w:noHBand="0" w:noVBand="1"/>
      </w:tblPr>
      <w:tblGrid>
        <w:gridCol w:w="2835"/>
        <w:gridCol w:w="967"/>
        <w:gridCol w:w="967"/>
        <w:gridCol w:w="967"/>
        <w:gridCol w:w="967"/>
      </w:tblGrid>
      <w:tr w:rsidR="00FB7793" w:rsidRPr="00CA0504" w14:paraId="659A167A" w14:textId="3B4175EE" w:rsidTr="00FB7793">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63EA39E" w14:textId="77777777" w:rsidR="00FB7793" w:rsidRPr="00CA0504" w:rsidRDefault="00FB7793" w:rsidP="005D26AF">
            <w:pPr>
              <w:spacing w:after="0" w:line="240" w:lineRule="auto"/>
              <w:rPr>
                <w:b/>
                <w:sz w:val="24"/>
                <w:szCs w:val="24"/>
              </w:rPr>
            </w:pPr>
            <w:r w:rsidRPr="00CA0504">
              <w:rPr>
                <w:b/>
                <w:sz w:val="24"/>
                <w:szCs w:val="24"/>
              </w:rPr>
              <w:t>Nyckeltal Bilreda (tkr)</w:t>
            </w:r>
          </w:p>
        </w:tc>
        <w:tc>
          <w:tcPr>
            <w:tcW w:w="967" w:type="dxa"/>
            <w:tcBorders>
              <w:top w:val="single" w:sz="4" w:space="0" w:color="auto"/>
              <w:left w:val="nil"/>
              <w:bottom w:val="single" w:sz="4" w:space="0" w:color="auto"/>
              <w:right w:val="single" w:sz="4" w:space="0" w:color="auto"/>
            </w:tcBorders>
            <w:shd w:val="clear" w:color="000000" w:fill="FFC000"/>
            <w:noWrap/>
            <w:vAlign w:val="bottom"/>
            <w:hideMark/>
          </w:tcPr>
          <w:p w14:paraId="6C17BCBD" w14:textId="3C973AF3" w:rsidR="00FB7793" w:rsidRPr="00CA0504" w:rsidRDefault="009214A2" w:rsidP="005D26AF">
            <w:pPr>
              <w:spacing w:after="0" w:line="240" w:lineRule="auto"/>
              <w:jc w:val="right"/>
              <w:rPr>
                <w:b/>
                <w:sz w:val="24"/>
                <w:szCs w:val="24"/>
              </w:rPr>
            </w:pPr>
            <w:r>
              <w:rPr>
                <w:b/>
                <w:sz w:val="24"/>
                <w:szCs w:val="24"/>
              </w:rPr>
              <w:t>2016</w:t>
            </w:r>
          </w:p>
        </w:tc>
        <w:tc>
          <w:tcPr>
            <w:tcW w:w="967" w:type="dxa"/>
            <w:tcBorders>
              <w:top w:val="single" w:sz="4" w:space="0" w:color="auto"/>
              <w:left w:val="nil"/>
              <w:bottom w:val="single" w:sz="4" w:space="0" w:color="auto"/>
              <w:right w:val="single" w:sz="4" w:space="0" w:color="auto"/>
            </w:tcBorders>
            <w:shd w:val="clear" w:color="000000" w:fill="FFC000"/>
          </w:tcPr>
          <w:p w14:paraId="65B07E6B" w14:textId="4A05356D" w:rsidR="00FB7793" w:rsidRPr="00CA0504" w:rsidRDefault="009214A2" w:rsidP="005D26AF">
            <w:pPr>
              <w:spacing w:after="0" w:line="240" w:lineRule="auto"/>
              <w:jc w:val="right"/>
              <w:rPr>
                <w:b/>
                <w:sz w:val="24"/>
                <w:szCs w:val="24"/>
              </w:rPr>
            </w:pPr>
            <w:r>
              <w:rPr>
                <w:b/>
                <w:sz w:val="24"/>
                <w:szCs w:val="24"/>
              </w:rPr>
              <w:t>2017</w:t>
            </w:r>
          </w:p>
        </w:tc>
        <w:tc>
          <w:tcPr>
            <w:tcW w:w="967" w:type="dxa"/>
            <w:tcBorders>
              <w:top w:val="single" w:sz="4" w:space="0" w:color="auto"/>
              <w:left w:val="nil"/>
              <w:bottom w:val="single" w:sz="4" w:space="0" w:color="auto"/>
              <w:right w:val="single" w:sz="4" w:space="0" w:color="auto"/>
            </w:tcBorders>
            <w:shd w:val="clear" w:color="000000" w:fill="FFC000"/>
          </w:tcPr>
          <w:p w14:paraId="3EEEAE1B" w14:textId="4914BF70" w:rsidR="00FB7793" w:rsidRPr="00CA0504" w:rsidRDefault="009214A2" w:rsidP="005D26AF">
            <w:pPr>
              <w:spacing w:after="0" w:line="240" w:lineRule="auto"/>
              <w:jc w:val="right"/>
              <w:rPr>
                <w:b/>
                <w:sz w:val="24"/>
                <w:szCs w:val="24"/>
              </w:rPr>
            </w:pPr>
            <w:r>
              <w:rPr>
                <w:b/>
                <w:sz w:val="24"/>
                <w:szCs w:val="24"/>
              </w:rPr>
              <w:t>2018</w:t>
            </w:r>
          </w:p>
        </w:tc>
        <w:tc>
          <w:tcPr>
            <w:tcW w:w="967" w:type="dxa"/>
            <w:tcBorders>
              <w:top w:val="single" w:sz="4" w:space="0" w:color="auto"/>
              <w:left w:val="nil"/>
              <w:bottom w:val="single" w:sz="4" w:space="0" w:color="auto"/>
              <w:right w:val="single" w:sz="4" w:space="0" w:color="auto"/>
            </w:tcBorders>
            <w:shd w:val="clear" w:color="000000" w:fill="FFC000"/>
          </w:tcPr>
          <w:p w14:paraId="59560BBE" w14:textId="111ADCBD" w:rsidR="00FB7793" w:rsidRPr="00CA0504" w:rsidRDefault="009214A2" w:rsidP="005D26AF">
            <w:pPr>
              <w:spacing w:after="0" w:line="240" w:lineRule="auto"/>
              <w:jc w:val="right"/>
              <w:rPr>
                <w:b/>
                <w:sz w:val="24"/>
                <w:szCs w:val="24"/>
              </w:rPr>
            </w:pPr>
            <w:r>
              <w:rPr>
                <w:b/>
                <w:sz w:val="24"/>
                <w:szCs w:val="24"/>
              </w:rPr>
              <w:t>2019</w:t>
            </w:r>
          </w:p>
        </w:tc>
      </w:tr>
      <w:tr w:rsidR="009214A2" w:rsidRPr="00CA0504" w14:paraId="06996D25" w14:textId="550D6186" w:rsidTr="002505ED">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35D29E6" w14:textId="77777777" w:rsidR="009214A2" w:rsidRPr="00CA0504" w:rsidRDefault="009214A2" w:rsidP="009214A2">
            <w:pPr>
              <w:spacing w:after="0" w:line="240" w:lineRule="auto"/>
              <w:rPr>
                <w:sz w:val="24"/>
                <w:szCs w:val="24"/>
              </w:rPr>
            </w:pPr>
            <w:r w:rsidRPr="00CA0504">
              <w:rPr>
                <w:sz w:val="24"/>
                <w:szCs w:val="24"/>
              </w:rPr>
              <w:t>Nettoomsättning</w:t>
            </w:r>
          </w:p>
        </w:tc>
        <w:tc>
          <w:tcPr>
            <w:tcW w:w="967" w:type="dxa"/>
            <w:tcBorders>
              <w:top w:val="nil"/>
              <w:left w:val="nil"/>
              <w:bottom w:val="single" w:sz="4" w:space="0" w:color="auto"/>
              <w:right w:val="single" w:sz="4" w:space="0" w:color="auto"/>
            </w:tcBorders>
            <w:shd w:val="clear" w:color="auto" w:fill="auto"/>
            <w:noWrap/>
          </w:tcPr>
          <w:p w14:paraId="081D45C2" w14:textId="5744AF46" w:rsidR="009214A2" w:rsidRPr="00CA0504" w:rsidRDefault="009214A2" w:rsidP="009214A2">
            <w:pPr>
              <w:spacing w:after="0" w:line="240" w:lineRule="auto"/>
              <w:jc w:val="right"/>
              <w:rPr>
                <w:sz w:val="24"/>
                <w:szCs w:val="24"/>
              </w:rPr>
            </w:pPr>
            <w:r w:rsidRPr="00CA0504">
              <w:rPr>
                <w:rFonts w:ascii="Calibri" w:hAnsi="Calibri"/>
                <w:color w:val="000000"/>
              </w:rPr>
              <w:t>20</w:t>
            </w:r>
            <w:r>
              <w:rPr>
                <w:rFonts w:ascii="Calibri" w:hAnsi="Calibri"/>
                <w:color w:val="000000"/>
              </w:rPr>
              <w:t> </w:t>
            </w:r>
            <w:r w:rsidRPr="00CA0504">
              <w:rPr>
                <w:rFonts w:ascii="Calibri" w:hAnsi="Calibri"/>
                <w:color w:val="000000"/>
              </w:rPr>
              <w:t>497</w:t>
            </w:r>
          </w:p>
        </w:tc>
        <w:tc>
          <w:tcPr>
            <w:tcW w:w="967" w:type="dxa"/>
            <w:tcBorders>
              <w:top w:val="nil"/>
              <w:left w:val="nil"/>
              <w:bottom w:val="single" w:sz="4" w:space="0" w:color="auto"/>
              <w:right w:val="single" w:sz="4" w:space="0" w:color="auto"/>
            </w:tcBorders>
          </w:tcPr>
          <w:p w14:paraId="6609D7D9" w14:textId="0A3835AD" w:rsidR="009214A2" w:rsidRPr="00CA0504" w:rsidRDefault="009214A2" w:rsidP="009214A2">
            <w:pPr>
              <w:spacing w:after="0" w:line="240" w:lineRule="auto"/>
              <w:jc w:val="right"/>
              <w:rPr>
                <w:rFonts w:ascii="Calibri" w:hAnsi="Calibri"/>
                <w:color w:val="000000"/>
              </w:rPr>
            </w:pPr>
            <w:r w:rsidRPr="00CA0504">
              <w:rPr>
                <w:rFonts w:ascii="Calibri" w:hAnsi="Calibri"/>
                <w:color w:val="000000"/>
              </w:rPr>
              <w:t>22</w:t>
            </w:r>
            <w:r>
              <w:rPr>
                <w:rFonts w:ascii="Calibri" w:hAnsi="Calibri"/>
                <w:color w:val="000000"/>
              </w:rPr>
              <w:t> </w:t>
            </w:r>
            <w:r w:rsidRPr="00CA0504">
              <w:rPr>
                <w:rFonts w:ascii="Calibri" w:hAnsi="Calibri"/>
                <w:color w:val="000000"/>
              </w:rPr>
              <w:t>922</w:t>
            </w:r>
          </w:p>
        </w:tc>
        <w:tc>
          <w:tcPr>
            <w:tcW w:w="967" w:type="dxa"/>
            <w:tcBorders>
              <w:top w:val="nil"/>
              <w:left w:val="nil"/>
              <w:bottom w:val="single" w:sz="4" w:space="0" w:color="auto"/>
              <w:right w:val="single" w:sz="4" w:space="0" w:color="auto"/>
            </w:tcBorders>
          </w:tcPr>
          <w:p w14:paraId="22AA9EC3" w14:textId="6F74EDF7" w:rsidR="009214A2" w:rsidRPr="00CA0504" w:rsidRDefault="009214A2" w:rsidP="009214A2">
            <w:pPr>
              <w:spacing w:after="0" w:line="240" w:lineRule="auto"/>
              <w:jc w:val="right"/>
              <w:rPr>
                <w:rFonts w:ascii="Calibri" w:hAnsi="Calibri"/>
                <w:color w:val="000000"/>
              </w:rPr>
            </w:pPr>
            <w:r w:rsidRPr="00CA0504">
              <w:rPr>
                <w:rFonts w:ascii="Calibri" w:hAnsi="Calibri"/>
                <w:color w:val="000000"/>
              </w:rPr>
              <w:t>25 912</w:t>
            </w:r>
          </w:p>
        </w:tc>
        <w:tc>
          <w:tcPr>
            <w:tcW w:w="967" w:type="dxa"/>
            <w:tcBorders>
              <w:top w:val="nil"/>
              <w:left w:val="nil"/>
              <w:bottom w:val="single" w:sz="4" w:space="0" w:color="auto"/>
              <w:right w:val="single" w:sz="4" w:space="0" w:color="auto"/>
            </w:tcBorders>
            <w:vAlign w:val="bottom"/>
          </w:tcPr>
          <w:p w14:paraId="7D6321ED" w14:textId="2C03F0CC" w:rsidR="009214A2" w:rsidRPr="009214A2" w:rsidRDefault="009214A2" w:rsidP="009214A2">
            <w:pPr>
              <w:spacing w:after="0" w:line="240" w:lineRule="auto"/>
              <w:jc w:val="right"/>
              <w:rPr>
                <w:rFonts w:ascii="Calibri" w:hAnsi="Calibri"/>
                <w:color w:val="000000" w:themeColor="text1"/>
              </w:rPr>
            </w:pPr>
            <w:r w:rsidRPr="009214A2">
              <w:rPr>
                <w:color w:val="000000" w:themeColor="text1"/>
              </w:rPr>
              <w:t>30 941</w:t>
            </w:r>
          </w:p>
        </w:tc>
      </w:tr>
      <w:tr w:rsidR="009214A2" w:rsidRPr="00CA0504" w14:paraId="2F5478BC" w14:textId="5F196F8A" w:rsidTr="002505ED">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6FCD0CD" w14:textId="77777777" w:rsidR="009214A2" w:rsidRPr="00CA0504" w:rsidRDefault="009214A2" w:rsidP="009214A2">
            <w:pPr>
              <w:spacing w:after="0" w:line="240" w:lineRule="auto"/>
              <w:rPr>
                <w:sz w:val="24"/>
                <w:szCs w:val="24"/>
              </w:rPr>
            </w:pPr>
            <w:r w:rsidRPr="00CA0504">
              <w:rPr>
                <w:sz w:val="24"/>
                <w:szCs w:val="24"/>
              </w:rPr>
              <w:t>Resultat efter finansiella poster*</w:t>
            </w:r>
          </w:p>
        </w:tc>
        <w:tc>
          <w:tcPr>
            <w:tcW w:w="967" w:type="dxa"/>
            <w:tcBorders>
              <w:top w:val="nil"/>
              <w:left w:val="nil"/>
              <w:bottom w:val="single" w:sz="4" w:space="0" w:color="auto"/>
              <w:right w:val="single" w:sz="4" w:space="0" w:color="auto"/>
            </w:tcBorders>
            <w:shd w:val="clear" w:color="auto" w:fill="auto"/>
            <w:noWrap/>
          </w:tcPr>
          <w:p w14:paraId="0D3D7E33" w14:textId="77777777" w:rsidR="009214A2" w:rsidRPr="00CA0504" w:rsidRDefault="009214A2" w:rsidP="009214A2">
            <w:pPr>
              <w:spacing w:after="0" w:line="240" w:lineRule="auto"/>
              <w:jc w:val="right"/>
              <w:rPr>
                <w:rFonts w:ascii="Calibri" w:hAnsi="Calibri"/>
                <w:color w:val="000000"/>
              </w:rPr>
            </w:pPr>
          </w:p>
          <w:p w14:paraId="6BE31054" w14:textId="0B1F1CBC" w:rsidR="009214A2" w:rsidRPr="00CA0504" w:rsidRDefault="009214A2" w:rsidP="009214A2">
            <w:pPr>
              <w:spacing w:after="0" w:line="240" w:lineRule="auto"/>
              <w:jc w:val="right"/>
              <w:rPr>
                <w:sz w:val="24"/>
                <w:szCs w:val="24"/>
              </w:rPr>
            </w:pPr>
            <w:r w:rsidRPr="00CA0504">
              <w:rPr>
                <w:rFonts w:ascii="Calibri" w:hAnsi="Calibri"/>
                <w:color w:val="000000"/>
              </w:rPr>
              <w:t>849</w:t>
            </w:r>
          </w:p>
        </w:tc>
        <w:tc>
          <w:tcPr>
            <w:tcW w:w="967" w:type="dxa"/>
            <w:tcBorders>
              <w:top w:val="nil"/>
              <w:left w:val="nil"/>
              <w:bottom w:val="single" w:sz="4" w:space="0" w:color="auto"/>
              <w:right w:val="single" w:sz="4" w:space="0" w:color="auto"/>
            </w:tcBorders>
          </w:tcPr>
          <w:p w14:paraId="6819008D" w14:textId="77777777" w:rsidR="009214A2" w:rsidRPr="00CA0504" w:rsidRDefault="009214A2" w:rsidP="009214A2">
            <w:pPr>
              <w:spacing w:after="0" w:line="240" w:lineRule="auto"/>
              <w:jc w:val="right"/>
              <w:rPr>
                <w:rFonts w:ascii="Calibri" w:hAnsi="Calibri"/>
                <w:color w:val="000000"/>
              </w:rPr>
            </w:pPr>
          </w:p>
          <w:p w14:paraId="032C4815" w14:textId="2237075A" w:rsidR="009214A2" w:rsidRPr="00CA0504" w:rsidRDefault="009214A2" w:rsidP="009214A2">
            <w:pPr>
              <w:spacing w:after="0" w:line="240" w:lineRule="auto"/>
              <w:jc w:val="right"/>
              <w:rPr>
                <w:rFonts w:ascii="Calibri" w:hAnsi="Calibri"/>
                <w:color w:val="000000"/>
              </w:rPr>
            </w:pPr>
            <w:r w:rsidRPr="00CA0504">
              <w:rPr>
                <w:rFonts w:ascii="Calibri" w:hAnsi="Calibri"/>
                <w:color w:val="000000"/>
              </w:rPr>
              <w:t>1713</w:t>
            </w:r>
          </w:p>
        </w:tc>
        <w:tc>
          <w:tcPr>
            <w:tcW w:w="967" w:type="dxa"/>
            <w:tcBorders>
              <w:top w:val="nil"/>
              <w:left w:val="nil"/>
              <w:bottom w:val="single" w:sz="4" w:space="0" w:color="auto"/>
              <w:right w:val="single" w:sz="4" w:space="0" w:color="auto"/>
            </w:tcBorders>
          </w:tcPr>
          <w:p w14:paraId="73DA100B" w14:textId="77777777" w:rsidR="009214A2" w:rsidRPr="00CA0504" w:rsidRDefault="009214A2" w:rsidP="009214A2">
            <w:pPr>
              <w:spacing w:after="0" w:line="240" w:lineRule="auto"/>
              <w:jc w:val="right"/>
              <w:rPr>
                <w:rFonts w:ascii="Calibri" w:hAnsi="Calibri"/>
                <w:color w:val="000000"/>
              </w:rPr>
            </w:pPr>
          </w:p>
          <w:p w14:paraId="54D5F63E" w14:textId="0FA664D1" w:rsidR="009214A2" w:rsidRPr="00CA0504" w:rsidRDefault="009214A2" w:rsidP="009214A2">
            <w:pPr>
              <w:spacing w:after="0" w:line="240" w:lineRule="auto"/>
              <w:jc w:val="right"/>
              <w:rPr>
                <w:rFonts w:ascii="Calibri" w:hAnsi="Calibri"/>
                <w:color w:val="000000"/>
              </w:rPr>
            </w:pPr>
            <w:r w:rsidRPr="00CA0504">
              <w:rPr>
                <w:rFonts w:ascii="Calibri" w:hAnsi="Calibri"/>
                <w:color w:val="000000"/>
              </w:rPr>
              <w:t>2205</w:t>
            </w:r>
          </w:p>
        </w:tc>
        <w:tc>
          <w:tcPr>
            <w:tcW w:w="967" w:type="dxa"/>
            <w:tcBorders>
              <w:top w:val="nil"/>
              <w:left w:val="nil"/>
              <w:bottom w:val="single" w:sz="4" w:space="0" w:color="auto"/>
              <w:right w:val="single" w:sz="4" w:space="0" w:color="auto"/>
            </w:tcBorders>
            <w:vAlign w:val="bottom"/>
          </w:tcPr>
          <w:p w14:paraId="6DD8F771" w14:textId="2E3995A8" w:rsidR="009214A2" w:rsidRPr="009214A2" w:rsidRDefault="009214A2" w:rsidP="009214A2">
            <w:pPr>
              <w:spacing w:after="0" w:line="240" w:lineRule="auto"/>
              <w:jc w:val="right"/>
              <w:rPr>
                <w:rFonts w:ascii="Calibri" w:hAnsi="Calibri"/>
                <w:color w:val="000000" w:themeColor="text1"/>
              </w:rPr>
            </w:pPr>
            <w:r w:rsidRPr="009214A2">
              <w:rPr>
                <w:color w:val="000000" w:themeColor="text1"/>
              </w:rPr>
              <w:t>5 885</w:t>
            </w:r>
          </w:p>
        </w:tc>
      </w:tr>
      <w:tr w:rsidR="009214A2" w:rsidRPr="00CA0504" w14:paraId="2FA48107" w14:textId="3799A2FC" w:rsidTr="002505ED">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6A8851C" w14:textId="77777777" w:rsidR="009214A2" w:rsidRPr="00CA0504" w:rsidRDefault="009214A2" w:rsidP="009214A2">
            <w:pPr>
              <w:spacing w:after="0" w:line="240" w:lineRule="auto"/>
              <w:rPr>
                <w:sz w:val="24"/>
                <w:szCs w:val="24"/>
              </w:rPr>
            </w:pPr>
            <w:r w:rsidRPr="00CA0504">
              <w:rPr>
                <w:sz w:val="24"/>
                <w:szCs w:val="24"/>
              </w:rPr>
              <w:t>Resultat före skatt</w:t>
            </w:r>
          </w:p>
        </w:tc>
        <w:tc>
          <w:tcPr>
            <w:tcW w:w="967" w:type="dxa"/>
            <w:tcBorders>
              <w:top w:val="nil"/>
              <w:left w:val="nil"/>
              <w:bottom w:val="single" w:sz="4" w:space="0" w:color="auto"/>
              <w:right w:val="single" w:sz="4" w:space="0" w:color="auto"/>
            </w:tcBorders>
            <w:shd w:val="clear" w:color="auto" w:fill="auto"/>
            <w:noWrap/>
          </w:tcPr>
          <w:p w14:paraId="1A076196" w14:textId="439E003C" w:rsidR="009214A2" w:rsidRPr="00CA0504" w:rsidRDefault="009214A2" w:rsidP="009214A2">
            <w:pPr>
              <w:spacing w:after="0" w:line="240" w:lineRule="auto"/>
              <w:jc w:val="right"/>
              <w:rPr>
                <w:sz w:val="24"/>
                <w:szCs w:val="24"/>
              </w:rPr>
            </w:pPr>
            <w:r w:rsidRPr="00CA0504">
              <w:rPr>
                <w:rFonts w:ascii="Calibri" w:hAnsi="Calibri"/>
                <w:color w:val="000000"/>
              </w:rPr>
              <w:t>183</w:t>
            </w:r>
          </w:p>
        </w:tc>
        <w:tc>
          <w:tcPr>
            <w:tcW w:w="967" w:type="dxa"/>
            <w:tcBorders>
              <w:top w:val="nil"/>
              <w:left w:val="nil"/>
              <w:bottom w:val="single" w:sz="4" w:space="0" w:color="auto"/>
              <w:right w:val="single" w:sz="4" w:space="0" w:color="auto"/>
            </w:tcBorders>
          </w:tcPr>
          <w:p w14:paraId="283765E0" w14:textId="3421D147" w:rsidR="009214A2" w:rsidRPr="00CA0504" w:rsidRDefault="009214A2" w:rsidP="009214A2">
            <w:pPr>
              <w:spacing w:after="0" w:line="240" w:lineRule="auto"/>
              <w:jc w:val="right"/>
              <w:rPr>
                <w:rFonts w:ascii="Calibri" w:hAnsi="Calibri"/>
                <w:color w:val="000000"/>
              </w:rPr>
            </w:pPr>
            <w:r w:rsidRPr="00CA0504">
              <w:rPr>
                <w:rFonts w:ascii="Calibri" w:hAnsi="Calibri"/>
                <w:color w:val="000000"/>
              </w:rPr>
              <w:t>483</w:t>
            </w:r>
          </w:p>
        </w:tc>
        <w:tc>
          <w:tcPr>
            <w:tcW w:w="967" w:type="dxa"/>
            <w:tcBorders>
              <w:top w:val="nil"/>
              <w:left w:val="nil"/>
              <w:bottom w:val="single" w:sz="4" w:space="0" w:color="auto"/>
              <w:right w:val="single" w:sz="4" w:space="0" w:color="auto"/>
            </w:tcBorders>
          </w:tcPr>
          <w:p w14:paraId="704C068F" w14:textId="7D767246" w:rsidR="009214A2" w:rsidRPr="00CA0504" w:rsidRDefault="009214A2" w:rsidP="009214A2">
            <w:pPr>
              <w:spacing w:after="0" w:line="240" w:lineRule="auto"/>
              <w:jc w:val="right"/>
              <w:rPr>
                <w:rFonts w:ascii="Calibri" w:hAnsi="Calibri"/>
                <w:color w:val="000000"/>
              </w:rPr>
            </w:pPr>
            <w:r w:rsidRPr="00CA0504">
              <w:rPr>
                <w:rFonts w:ascii="Calibri" w:hAnsi="Calibri"/>
                <w:color w:val="000000"/>
              </w:rPr>
              <w:t>2095</w:t>
            </w:r>
          </w:p>
        </w:tc>
        <w:tc>
          <w:tcPr>
            <w:tcW w:w="967" w:type="dxa"/>
            <w:tcBorders>
              <w:top w:val="nil"/>
              <w:left w:val="nil"/>
              <w:bottom w:val="single" w:sz="4" w:space="0" w:color="auto"/>
              <w:right w:val="single" w:sz="4" w:space="0" w:color="auto"/>
            </w:tcBorders>
            <w:vAlign w:val="bottom"/>
          </w:tcPr>
          <w:p w14:paraId="1C0E7DFB" w14:textId="722F15CF" w:rsidR="009214A2" w:rsidRPr="009214A2" w:rsidRDefault="009214A2" w:rsidP="009214A2">
            <w:pPr>
              <w:spacing w:after="0" w:line="240" w:lineRule="auto"/>
              <w:jc w:val="right"/>
              <w:rPr>
                <w:rFonts w:ascii="Calibri" w:hAnsi="Calibri"/>
                <w:color w:val="000000" w:themeColor="text1"/>
              </w:rPr>
            </w:pPr>
            <w:r w:rsidRPr="009214A2">
              <w:rPr>
                <w:color w:val="000000" w:themeColor="text1"/>
              </w:rPr>
              <w:t>-215</w:t>
            </w:r>
          </w:p>
        </w:tc>
      </w:tr>
      <w:tr w:rsidR="009214A2" w:rsidRPr="00EA6971" w14:paraId="0AF5645A" w14:textId="7303D741" w:rsidTr="002505ED">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4F6C4BB" w14:textId="77777777" w:rsidR="009214A2" w:rsidRPr="00CA0504" w:rsidRDefault="009214A2" w:rsidP="009214A2">
            <w:pPr>
              <w:spacing w:after="0" w:line="240" w:lineRule="auto"/>
              <w:rPr>
                <w:sz w:val="24"/>
                <w:szCs w:val="24"/>
              </w:rPr>
            </w:pPr>
            <w:r w:rsidRPr="00CA0504">
              <w:rPr>
                <w:sz w:val="24"/>
                <w:szCs w:val="24"/>
              </w:rPr>
              <w:t>Årets resultat</w:t>
            </w:r>
          </w:p>
        </w:tc>
        <w:tc>
          <w:tcPr>
            <w:tcW w:w="967" w:type="dxa"/>
            <w:tcBorders>
              <w:top w:val="nil"/>
              <w:left w:val="nil"/>
              <w:bottom w:val="single" w:sz="4" w:space="0" w:color="auto"/>
              <w:right w:val="single" w:sz="4" w:space="0" w:color="auto"/>
            </w:tcBorders>
            <w:shd w:val="clear" w:color="auto" w:fill="auto"/>
            <w:noWrap/>
          </w:tcPr>
          <w:p w14:paraId="19E615F3" w14:textId="1F7BD085" w:rsidR="009214A2" w:rsidRPr="00CA0504" w:rsidRDefault="009214A2" w:rsidP="009214A2">
            <w:pPr>
              <w:spacing w:after="0" w:line="240" w:lineRule="auto"/>
              <w:jc w:val="right"/>
              <w:rPr>
                <w:sz w:val="24"/>
                <w:szCs w:val="24"/>
              </w:rPr>
            </w:pPr>
            <w:r w:rsidRPr="00CA0504">
              <w:rPr>
                <w:rFonts w:ascii="Calibri" w:hAnsi="Calibri"/>
                <w:color w:val="000000"/>
              </w:rPr>
              <w:t>124</w:t>
            </w:r>
          </w:p>
        </w:tc>
        <w:tc>
          <w:tcPr>
            <w:tcW w:w="967" w:type="dxa"/>
            <w:tcBorders>
              <w:top w:val="nil"/>
              <w:left w:val="nil"/>
              <w:bottom w:val="single" w:sz="4" w:space="0" w:color="auto"/>
              <w:right w:val="single" w:sz="4" w:space="0" w:color="auto"/>
            </w:tcBorders>
          </w:tcPr>
          <w:p w14:paraId="2AE4C0DA" w14:textId="10665282" w:rsidR="009214A2" w:rsidRPr="00CA0504" w:rsidRDefault="009214A2" w:rsidP="009214A2">
            <w:pPr>
              <w:spacing w:after="0" w:line="240" w:lineRule="auto"/>
              <w:jc w:val="right"/>
              <w:rPr>
                <w:rFonts w:ascii="Calibri" w:hAnsi="Calibri"/>
                <w:color w:val="000000"/>
              </w:rPr>
            </w:pPr>
            <w:r w:rsidRPr="00CA0504">
              <w:rPr>
                <w:rFonts w:ascii="Calibri" w:hAnsi="Calibri"/>
                <w:color w:val="000000"/>
              </w:rPr>
              <w:t>361</w:t>
            </w:r>
          </w:p>
        </w:tc>
        <w:tc>
          <w:tcPr>
            <w:tcW w:w="967" w:type="dxa"/>
            <w:tcBorders>
              <w:top w:val="nil"/>
              <w:left w:val="nil"/>
              <w:bottom w:val="single" w:sz="4" w:space="0" w:color="auto"/>
              <w:right w:val="single" w:sz="4" w:space="0" w:color="auto"/>
            </w:tcBorders>
          </w:tcPr>
          <w:p w14:paraId="24C7402A" w14:textId="440AEB27" w:rsidR="009214A2" w:rsidRPr="00CA0504" w:rsidRDefault="009214A2" w:rsidP="009214A2">
            <w:pPr>
              <w:spacing w:after="0" w:line="240" w:lineRule="auto"/>
              <w:jc w:val="right"/>
              <w:rPr>
                <w:rFonts w:ascii="Calibri" w:hAnsi="Calibri"/>
                <w:color w:val="000000"/>
              </w:rPr>
            </w:pPr>
            <w:r w:rsidRPr="00CA0504">
              <w:rPr>
                <w:rFonts w:ascii="Calibri" w:hAnsi="Calibri"/>
                <w:color w:val="000000"/>
              </w:rPr>
              <w:t>1619</w:t>
            </w:r>
          </w:p>
        </w:tc>
        <w:tc>
          <w:tcPr>
            <w:tcW w:w="967" w:type="dxa"/>
            <w:tcBorders>
              <w:top w:val="nil"/>
              <w:left w:val="nil"/>
              <w:bottom w:val="single" w:sz="4" w:space="0" w:color="auto"/>
              <w:right w:val="single" w:sz="4" w:space="0" w:color="auto"/>
            </w:tcBorders>
            <w:vAlign w:val="bottom"/>
          </w:tcPr>
          <w:p w14:paraId="7565C6FB" w14:textId="1364A6DB" w:rsidR="009214A2" w:rsidRPr="009214A2" w:rsidRDefault="009214A2" w:rsidP="009214A2">
            <w:pPr>
              <w:spacing w:after="0" w:line="240" w:lineRule="auto"/>
              <w:jc w:val="right"/>
              <w:rPr>
                <w:rFonts w:ascii="Calibri" w:hAnsi="Calibri"/>
                <w:color w:val="000000" w:themeColor="text1"/>
              </w:rPr>
            </w:pPr>
            <w:r w:rsidRPr="009214A2">
              <w:rPr>
                <w:color w:val="000000" w:themeColor="text1"/>
              </w:rPr>
              <w:t>-215</w:t>
            </w:r>
          </w:p>
        </w:tc>
      </w:tr>
    </w:tbl>
    <w:p w14:paraId="13B0946D" w14:textId="77777777" w:rsidR="009F1306" w:rsidRPr="00EA6971" w:rsidRDefault="009F1306" w:rsidP="00436A6E">
      <w:pPr>
        <w:spacing w:after="0" w:line="240" w:lineRule="auto"/>
        <w:ind w:left="364"/>
        <w:rPr>
          <w:rFonts w:eastAsia="Times New Roman" w:cs="Arial"/>
          <w:b/>
          <w:bCs/>
          <w:sz w:val="20"/>
          <w:szCs w:val="20"/>
          <w:lang w:eastAsia="sv-SE"/>
        </w:rPr>
      </w:pPr>
    </w:p>
    <w:p w14:paraId="783AC461" w14:textId="77777777" w:rsidR="00304ED7" w:rsidRPr="00EA6971" w:rsidRDefault="00304ED7" w:rsidP="00436A6E">
      <w:pPr>
        <w:spacing w:after="0" w:line="240" w:lineRule="auto"/>
        <w:ind w:left="364"/>
        <w:rPr>
          <w:rFonts w:eastAsia="Times New Roman" w:cs="Arial"/>
          <w:bCs/>
          <w:sz w:val="20"/>
          <w:szCs w:val="20"/>
          <w:lang w:eastAsia="sv-SE"/>
        </w:rPr>
      </w:pPr>
    </w:p>
    <w:p w14:paraId="018CB295" w14:textId="77777777" w:rsidR="003A7A11" w:rsidRPr="00EA6971" w:rsidRDefault="003A7A11">
      <w:pPr>
        <w:rPr>
          <w:color w:val="000000" w:themeColor="text1"/>
        </w:rPr>
      </w:pPr>
    </w:p>
    <w:p w14:paraId="0DAB9CA1" w14:textId="77777777" w:rsidR="00114220" w:rsidRPr="00EA6971" w:rsidRDefault="00114220" w:rsidP="009A1208">
      <w:pPr>
        <w:pStyle w:val="Rubrik2"/>
        <w:numPr>
          <w:ilvl w:val="1"/>
          <w:numId w:val="12"/>
        </w:numPr>
        <w:rPr>
          <w:color w:val="000000" w:themeColor="text1"/>
        </w:rPr>
      </w:pPr>
      <w:bookmarkStart w:id="20" w:name="_Toc34657543"/>
      <w:r w:rsidRPr="00EA6971">
        <w:rPr>
          <w:color w:val="000000" w:themeColor="text1"/>
        </w:rPr>
        <w:t>Resultat miljö</w:t>
      </w:r>
      <w:bookmarkEnd w:id="20"/>
    </w:p>
    <w:p w14:paraId="6E6A2964" w14:textId="77777777" w:rsidR="00CB4FDF" w:rsidRDefault="00D62BC4" w:rsidP="00D62BC4">
      <w:pPr>
        <w:ind w:left="360"/>
        <w:rPr>
          <w:color w:val="000000" w:themeColor="text1"/>
        </w:rPr>
      </w:pPr>
      <w:r w:rsidRPr="001F16BB">
        <w:rPr>
          <w:color w:val="000000" w:themeColor="text1"/>
        </w:rPr>
        <w:t>Vi har två hållbarhetsmål inom miljöområdet. Det första är knutet till våra kunder och flottan och handlar om att halvera våra fossila koldioxidutsläpp till år 2020 jämfört med 2007.</w:t>
      </w:r>
      <w:r w:rsidR="00CB4FDF">
        <w:rPr>
          <w:color w:val="000000" w:themeColor="text1"/>
        </w:rPr>
        <w:t xml:space="preserve"> Under denna period har vi minskat vårt snittutsläpp CO2/km med 26%. Den totala volymen koldioxid har ökat eftersom antalet transaktioner ökat under perioden. </w:t>
      </w:r>
      <w:r w:rsidR="00CB4FDF" w:rsidRPr="001F16BB">
        <w:rPr>
          <w:color w:val="000000" w:themeColor="text1"/>
        </w:rPr>
        <w:t>För</w:t>
      </w:r>
      <w:r w:rsidR="00CB4FDF">
        <w:rPr>
          <w:color w:val="000000" w:themeColor="text1"/>
        </w:rPr>
        <w:t xml:space="preserve"> 2019 lät vi målen öka något </w:t>
      </w:r>
      <w:r w:rsidR="00CB4FDF" w:rsidRPr="001F16BB">
        <w:rPr>
          <w:color w:val="000000" w:themeColor="text1"/>
        </w:rPr>
        <w:t xml:space="preserve">eftersom </w:t>
      </w:r>
      <w:r w:rsidR="00CB4FDF">
        <w:rPr>
          <w:color w:val="000000" w:themeColor="text1"/>
        </w:rPr>
        <w:t xml:space="preserve">mätmetoden förändrats och </w:t>
      </w:r>
      <w:r w:rsidR="00CB4FDF" w:rsidRPr="001F16BB">
        <w:rPr>
          <w:color w:val="000000" w:themeColor="text1"/>
        </w:rPr>
        <w:t xml:space="preserve">vi inte ser att de fordon som idag erbjuds på </w:t>
      </w:r>
      <w:r w:rsidR="00CB4FDF" w:rsidRPr="001F16BB">
        <w:rPr>
          <w:color w:val="000000" w:themeColor="text1"/>
        </w:rPr>
        <w:lastRenderedPageBreak/>
        <w:t>marknaden kommer kunna nå de önskade nivåerna. Fordon som drivs på alternativa bränslen, exempelvis el, kommer att öka i antal på den svenska marknaden vilket också gynnar FRAC på längre sikt.</w:t>
      </w:r>
      <w:r w:rsidR="00CB4FDF">
        <w:rPr>
          <w:color w:val="000000" w:themeColor="text1"/>
        </w:rPr>
        <w:t xml:space="preserve"> </w:t>
      </w:r>
      <w:r w:rsidRPr="001F16BB">
        <w:rPr>
          <w:color w:val="000000" w:themeColor="text1"/>
        </w:rPr>
        <w:t xml:space="preserve"> </w:t>
      </w:r>
      <w:r w:rsidR="003779A3">
        <w:rPr>
          <w:color w:val="000000" w:themeColor="text1"/>
        </w:rPr>
        <w:t>Här flyttar vi nu fokus till 2030. Vår ambitio</w:t>
      </w:r>
      <w:r w:rsidR="003F1BFC">
        <w:rPr>
          <w:color w:val="000000" w:themeColor="text1"/>
        </w:rPr>
        <w:t xml:space="preserve">n är att följa Agenda 2030. </w:t>
      </w:r>
    </w:p>
    <w:p w14:paraId="0BA47D32" w14:textId="4775BDF6" w:rsidR="0060766A" w:rsidRPr="00EA6971" w:rsidRDefault="00D62BC4" w:rsidP="00D62BC4">
      <w:pPr>
        <w:ind w:left="360"/>
      </w:pPr>
      <w:r w:rsidRPr="001F16BB">
        <w:rPr>
          <w:color w:val="000000" w:themeColor="text1"/>
        </w:rPr>
        <w:t>Det andra hållbarhetsmålet handlar om att minska de interna fossila koldioxidutsläppen med drygt 60</w:t>
      </w:r>
      <w:r w:rsidR="002A641F" w:rsidRPr="001F16BB">
        <w:rPr>
          <w:color w:val="000000" w:themeColor="text1"/>
        </w:rPr>
        <w:t xml:space="preserve"> procent</w:t>
      </w:r>
      <w:r w:rsidRPr="001F16BB">
        <w:rPr>
          <w:color w:val="000000" w:themeColor="text1"/>
        </w:rPr>
        <w:t xml:space="preserve"> till år 2020 jämfört med 2007. </w:t>
      </w:r>
      <w:r w:rsidR="0009233A">
        <w:rPr>
          <w:color w:val="000000" w:themeColor="text1"/>
        </w:rPr>
        <w:t>Detta mål har vi uppnått. Vi minskade de interna utsläppen med 75%.</w:t>
      </w:r>
    </w:p>
    <w:p w14:paraId="4063A8B0" w14:textId="77777777" w:rsidR="00B9436A" w:rsidRPr="00DB65CA" w:rsidRDefault="00B9436A" w:rsidP="00B9436A">
      <w:pPr>
        <w:pStyle w:val="Bildrubrik"/>
        <w:spacing w:after="0"/>
        <w:ind w:left="357"/>
        <w:rPr>
          <w:b/>
          <w:sz w:val="20"/>
          <w:szCs w:val="20"/>
        </w:rPr>
      </w:pPr>
      <w:r w:rsidRPr="00DB65CA">
        <w:rPr>
          <w:b/>
          <w:sz w:val="20"/>
          <w:szCs w:val="20"/>
        </w:rPr>
        <w:t>Kundutsläpp</w:t>
      </w:r>
      <w:r w:rsidR="0056036E" w:rsidRPr="00DB65CA">
        <w:rPr>
          <w:b/>
          <w:sz w:val="20"/>
          <w:szCs w:val="20"/>
        </w:rPr>
        <w:t xml:space="preserve"> gram</w:t>
      </w:r>
      <w:r w:rsidR="00344330" w:rsidRPr="00DB65CA">
        <w:rPr>
          <w:b/>
          <w:sz w:val="20"/>
          <w:szCs w:val="20"/>
        </w:rPr>
        <w:t xml:space="preserve"> CO</w:t>
      </w:r>
      <w:r w:rsidR="00344330" w:rsidRPr="00DB65CA">
        <w:rPr>
          <w:b/>
          <w:sz w:val="20"/>
          <w:szCs w:val="20"/>
          <w:vertAlign w:val="subscript"/>
        </w:rPr>
        <w:t>2</w:t>
      </w:r>
      <w:r w:rsidR="00AA3D4D" w:rsidRPr="00DB65CA">
        <w:rPr>
          <w:b/>
          <w:sz w:val="20"/>
          <w:szCs w:val="20"/>
        </w:rPr>
        <w:t xml:space="preserve"> per </w:t>
      </w:r>
      <w:r w:rsidR="00C74CD9" w:rsidRPr="00DB65CA">
        <w:rPr>
          <w:b/>
          <w:sz w:val="20"/>
          <w:szCs w:val="20"/>
        </w:rPr>
        <w:t>k</w:t>
      </w:r>
      <w:r w:rsidR="00AA3D4D" w:rsidRPr="00DB65CA">
        <w:rPr>
          <w:b/>
          <w:sz w:val="20"/>
          <w:szCs w:val="20"/>
        </w:rPr>
        <w:t>ilo</w:t>
      </w:r>
      <w:r w:rsidR="00C74CD9" w:rsidRPr="00DB65CA">
        <w:rPr>
          <w:b/>
          <w:sz w:val="20"/>
          <w:szCs w:val="20"/>
        </w:rPr>
        <w:t>m</w:t>
      </w:r>
      <w:r w:rsidR="00AA3D4D" w:rsidRPr="00DB65CA">
        <w:rPr>
          <w:b/>
          <w:sz w:val="20"/>
          <w:szCs w:val="20"/>
        </w:rPr>
        <w:t>eter</w:t>
      </w:r>
      <w:r w:rsidR="00C74CD9" w:rsidRPr="00DB65CA">
        <w:rPr>
          <w:b/>
          <w:sz w:val="20"/>
          <w:szCs w:val="20"/>
        </w:rPr>
        <w:t xml:space="preserve"> för hyrbils</w:t>
      </w:r>
      <w:r w:rsidRPr="00DB65CA">
        <w:rPr>
          <w:b/>
          <w:sz w:val="20"/>
          <w:szCs w:val="20"/>
        </w:rPr>
        <w:t>flottan</w:t>
      </w:r>
    </w:p>
    <w:p w14:paraId="4A4B4F00" w14:textId="06011236" w:rsidR="0077385B" w:rsidRPr="00B703D0" w:rsidRDefault="0049427E" w:rsidP="0049427E">
      <w:pPr>
        <w:pStyle w:val="Bildrubrik"/>
        <w:spacing w:after="0"/>
        <w:ind w:left="0"/>
        <w:rPr>
          <w:b/>
          <w:sz w:val="20"/>
          <w:szCs w:val="20"/>
          <w:highlight w:val="yellow"/>
        </w:rPr>
      </w:pPr>
      <w:r>
        <w:rPr>
          <w:noProof/>
          <w:lang w:eastAsia="sv-SE"/>
        </w:rPr>
        <w:drawing>
          <wp:inline distT="0" distB="0" distL="0" distR="0" wp14:anchorId="6BB3F62D" wp14:editId="4C9B8DE2">
            <wp:extent cx="5873750" cy="2387600"/>
            <wp:effectExtent l="0" t="0" r="12700" b="1270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sv-SE"/>
        </w:rPr>
        <w:t xml:space="preserve"> </w:t>
      </w:r>
    </w:p>
    <w:p w14:paraId="46229A1A" w14:textId="1564A5BF" w:rsidR="00CD1AC0" w:rsidRPr="00EA6971" w:rsidRDefault="00896D25" w:rsidP="00CD1AC0">
      <w:pPr>
        <w:spacing w:after="0"/>
        <w:ind w:left="352"/>
        <w:rPr>
          <w:rFonts w:eastAsia="Times New Roman" w:cs="Arial"/>
          <w:bCs/>
          <w:sz w:val="20"/>
          <w:szCs w:val="20"/>
          <w:lang w:eastAsia="sv-SE"/>
        </w:rPr>
      </w:pPr>
      <w:r w:rsidRPr="001F16BB">
        <w:rPr>
          <w:rFonts w:eastAsia="Times New Roman" w:cs="Arial"/>
          <w:bCs/>
          <w:sz w:val="20"/>
          <w:szCs w:val="20"/>
          <w:lang w:eastAsia="sv-SE"/>
        </w:rPr>
        <w:t>Vi fortsätter att öka antalet transaktioner</w:t>
      </w:r>
      <w:r w:rsidR="00ED3389" w:rsidRPr="001F16BB">
        <w:rPr>
          <w:rFonts w:eastAsia="Times New Roman" w:cs="Arial"/>
          <w:bCs/>
          <w:sz w:val="20"/>
          <w:szCs w:val="20"/>
          <w:lang w:eastAsia="sv-SE"/>
        </w:rPr>
        <w:t>.</w:t>
      </w:r>
      <w:r w:rsidR="00FA6F43" w:rsidRPr="001F16BB">
        <w:rPr>
          <w:rFonts w:eastAsia="Times New Roman" w:cs="Arial"/>
          <w:bCs/>
          <w:sz w:val="20"/>
          <w:szCs w:val="20"/>
          <w:lang w:eastAsia="sv-SE"/>
        </w:rPr>
        <w:t xml:space="preserve"> Vi har </w:t>
      </w:r>
      <w:r w:rsidR="00CB4FDF">
        <w:rPr>
          <w:rFonts w:eastAsia="Times New Roman" w:cs="Arial"/>
          <w:bCs/>
          <w:sz w:val="20"/>
          <w:szCs w:val="20"/>
          <w:lang w:eastAsia="sv-SE"/>
        </w:rPr>
        <w:t>inte</w:t>
      </w:r>
      <w:r w:rsidR="0077385B" w:rsidRPr="001F16BB">
        <w:rPr>
          <w:rFonts w:eastAsia="Times New Roman" w:cs="Arial"/>
          <w:bCs/>
          <w:sz w:val="20"/>
          <w:szCs w:val="20"/>
          <w:lang w:eastAsia="sv-SE"/>
        </w:rPr>
        <w:t xml:space="preserve"> minskat</w:t>
      </w:r>
      <w:r w:rsidR="00FA6F43" w:rsidRPr="001F16BB">
        <w:rPr>
          <w:rFonts w:eastAsia="Times New Roman" w:cs="Arial"/>
          <w:bCs/>
          <w:sz w:val="20"/>
          <w:szCs w:val="20"/>
          <w:lang w:eastAsia="sv-SE"/>
        </w:rPr>
        <w:t xml:space="preserve"> våra snittutsläpp</w:t>
      </w:r>
      <w:r w:rsidR="00CB4FDF">
        <w:rPr>
          <w:rFonts w:eastAsia="Times New Roman" w:cs="Arial"/>
          <w:bCs/>
          <w:sz w:val="20"/>
          <w:szCs w:val="20"/>
          <w:lang w:eastAsia="sv-SE"/>
        </w:rPr>
        <w:t xml:space="preserve"> under året och f</w:t>
      </w:r>
      <w:r w:rsidR="00A02232">
        <w:rPr>
          <w:rFonts w:eastAsia="Times New Roman" w:cs="Arial"/>
          <w:bCs/>
          <w:sz w:val="20"/>
          <w:szCs w:val="20"/>
          <w:lang w:eastAsia="sv-SE"/>
        </w:rPr>
        <w:t>lottan för 2019</w:t>
      </w:r>
      <w:r w:rsidR="0077385B" w:rsidRPr="001F16BB">
        <w:rPr>
          <w:rFonts w:eastAsia="Times New Roman" w:cs="Arial"/>
          <w:bCs/>
          <w:sz w:val="20"/>
          <w:szCs w:val="20"/>
          <w:lang w:eastAsia="sv-SE"/>
        </w:rPr>
        <w:t xml:space="preserve"> har </w:t>
      </w:r>
      <w:r w:rsidR="0015192E" w:rsidRPr="001F16BB">
        <w:rPr>
          <w:rFonts w:eastAsia="Times New Roman" w:cs="Arial"/>
          <w:bCs/>
          <w:sz w:val="20"/>
          <w:szCs w:val="20"/>
          <w:lang w:eastAsia="sv-SE"/>
        </w:rPr>
        <w:t xml:space="preserve">inte </w:t>
      </w:r>
      <w:r w:rsidR="0077385B" w:rsidRPr="001F16BB">
        <w:rPr>
          <w:rFonts w:eastAsia="Times New Roman" w:cs="Arial"/>
          <w:bCs/>
          <w:sz w:val="20"/>
          <w:szCs w:val="20"/>
          <w:lang w:eastAsia="sv-SE"/>
        </w:rPr>
        <w:t xml:space="preserve">förändrats i större utsträckning. </w:t>
      </w:r>
    </w:p>
    <w:p w14:paraId="387EAEE3" w14:textId="77777777" w:rsidR="00686C7B" w:rsidRDefault="00686C7B" w:rsidP="00686C7B">
      <w:pPr>
        <w:spacing w:after="0"/>
        <w:ind w:left="352"/>
        <w:rPr>
          <w:color w:val="000000" w:themeColor="text1"/>
        </w:rPr>
      </w:pPr>
    </w:p>
    <w:p w14:paraId="7FE62012" w14:textId="3A6946D4" w:rsidR="0009233A" w:rsidRDefault="0009233A" w:rsidP="0009233A">
      <w:pPr>
        <w:spacing w:after="0"/>
        <w:rPr>
          <w:color w:val="000000" w:themeColor="text1"/>
        </w:rPr>
      </w:pPr>
      <w:r>
        <w:rPr>
          <w:noProof/>
          <w:lang w:eastAsia="sv-SE"/>
        </w:rPr>
        <w:drawing>
          <wp:inline distT="0" distB="0" distL="0" distR="0" wp14:anchorId="73CF0941" wp14:editId="75A1E80C">
            <wp:extent cx="5753100" cy="2868930"/>
            <wp:effectExtent l="0" t="0" r="0" b="762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0D1C77" w14:textId="4F4784DF" w:rsidR="0009233A" w:rsidRDefault="0009233A" w:rsidP="00686C7B">
      <w:pPr>
        <w:spacing w:after="0"/>
        <w:ind w:left="352"/>
        <w:rPr>
          <w:color w:val="000000" w:themeColor="text1"/>
        </w:rPr>
      </w:pPr>
      <w:r>
        <w:rPr>
          <w:color w:val="000000" w:themeColor="text1"/>
        </w:rPr>
        <w:t>De interna utsläppen ökade i år och det är vår transportör som står för ökningen.</w:t>
      </w:r>
    </w:p>
    <w:p w14:paraId="661CF4BF" w14:textId="77777777" w:rsidR="0009233A" w:rsidRPr="00EA6971" w:rsidRDefault="0009233A" w:rsidP="00686C7B">
      <w:pPr>
        <w:spacing w:after="0"/>
        <w:ind w:left="352"/>
        <w:rPr>
          <w:color w:val="000000" w:themeColor="text1"/>
        </w:rPr>
      </w:pPr>
    </w:p>
    <w:p w14:paraId="483D3C99" w14:textId="77777777" w:rsidR="00D024A0" w:rsidRDefault="00D024A0" w:rsidP="001175B3">
      <w:pPr>
        <w:spacing w:after="120"/>
        <w:ind w:left="352"/>
        <w:rPr>
          <w:rFonts w:eastAsia="Times New Roman" w:cs="Arial"/>
          <w:b/>
          <w:bCs/>
          <w:sz w:val="20"/>
          <w:szCs w:val="20"/>
          <w:lang w:eastAsia="sv-SE"/>
        </w:rPr>
      </w:pPr>
    </w:p>
    <w:p w14:paraId="704A96F1" w14:textId="77777777" w:rsidR="00D024A0" w:rsidRDefault="00D024A0" w:rsidP="001175B3">
      <w:pPr>
        <w:spacing w:after="120"/>
        <w:ind w:left="352"/>
        <w:rPr>
          <w:rFonts w:eastAsia="Times New Roman" w:cs="Arial"/>
          <w:b/>
          <w:bCs/>
          <w:sz w:val="20"/>
          <w:szCs w:val="20"/>
          <w:lang w:eastAsia="sv-SE"/>
        </w:rPr>
      </w:pPr>
    </w:p>
    <w:p w14:paraId="788D81D3" w14:textId="77777777" w:rsidR="00D024A0" w:rsidRDefault="00D024A0" w:rsidP="001175B3">
      <w:pPr>
        <w:spacing w:after="120"/>
        <w:ind w:left="352"/>
        <w:rPr>
          <w:rFonts w:eastAsia="Times New Roman" w:cs="Arial"/>
          <w:b/>
          <w:bCs/>
          <w:sz w:val="20"/>
          <w:szCs w:val="20"/>
          <w:lang w:eastAsia="sv-SE"/>
        </w:rPr>
      </w:pPr>
    </w:p>
    <w:p w14:paraId="67BA799B" w14:textId="77777777" w:rsidR="00D024A0" w:rsidRDefault="00D024A0" w:rsidP="001175B3">
      <w:pPr>
        <w:spacing w:after="120"/>
        <w:ind w:left="352"/>
        <w:rPr>
          <w:rFonts w:eastAsia="Times New Roman" w:cs="Arial"/>
          <w:b/>
          <w:bCs/>
          <w:sz w:val="20"/>
          <w:szCs w:val="20"/>
          <w:lang w:eastAsia="sv-SE"/>
        </w:rPr>
      </w:pPr>
    </w:p>
    <w:p w14:paraId="6F081354" w14:textId="77777777" w:rsidR="005860C9" w:rsidRPr="001F16BB" w:rsidRDefault="005860C9" w:rsidP="001175B3">
      <w:pPr>
        <w:spacing w:after="120"/>
        <w:ind w:left="352"/>
        <w:rPr>
          <w:b/>
          <w:sz w:val="20"/>
          <w:szCs w:val="20"/>
        </w:rPr>
      </w:pPr>
      <w:r w:rsidRPr="001F16BB">
        <w:rPr>
          <w:rFonts w:eastAsia="Times New Roman" w:cs="Arial"/>
          <w:b/>
          <w:bCs/>
          <w:sz w:val="20"/>
          <w:szCs w:val="20"/>
          <w:lang w:eastAsia="sv-SE"/>
        </w:rPr>
        <w:lastRenderedPageBreak/>
        <w:t>Koldioxid</w:t>
      </w:r>
      <w:r w:rsidRPr="001F16BB">
        <w:rPr>
          <w:b/>
          <w:sz w:val="20"/>
          <w:szCs w:val="20"/>
        </w:rPr>
        <w:t xml:space="preserve">utsläpp internt </w:t>
      </w:r>
      <w:r w:rsidR="00AA3D4D" w:rsidRPr="001F16BB">
        <w:rPr>
          <w:b/>
          <w:sz w:val="20"/>
          <w:szCs w:val="20"/>
        </w:rPr>
        <w:t xml:space="preserve">jämfört </w:t>
      </w:r>
      <w:r w:rsidRPr="001F16BB">
        <w:rPr>
          <w:b/>
          <w:sz w:val="20"/>
          <w:szCs w:val="20"/>
        </w:rPr>
        <w:t>med flottan</w:t>
      </w:r>
    </w:p>
    <w:p w14:paraId="23DA67B1" w14:textId="51374DC1" w:rsidR="00CB4FDF" w:rsidRDefault="00034547" w:rsidP="001175B3">
      <w:pPr>
        <w:spacing w:after="120"/>
        <w:ind w:left="352"/>
        <w:rPr>
          <w:noProof/>
          <w:lang w:eastAsia="sv-SE"/>
        </w:rPr>
      </w:pPr>
      <w:r w:rsidRPr="001D71C4">
        <w:rPr>
          <w:rFonts w:eastAsia="Times New Roman" w:cs="Arial"/>
          <w:bCs/>
          <w:lang w:eastAsia="sv-SE"/>
        </w:rPr>
        <w:t xml:space="preserve">De interna utsläppen </w:t>
      </w:r>
      <w:r w:rsidR="001F16BB" w:rsidRPr="001D71C4">
        <w:rPr>
          <w:rFonts w:eastAsia="Times New Roman" w:cs="Arial"/>
          <w:bCs/>
          <w:lang w:eastAsia="sv-SE"/>
        </w:rPr>
        <w:t>fortsätter att</w:t>
      </w:r>
      <w:r w:rsidRPr="001D71C4">
        <w:rPr>
          <w:rFonts w:eastAsia="Times New Roman" w:cs="Arial"/>
          <w:bCs/>
          <w:lang w:eastAsia="sv-SE"/>
        </w:rPr>
        <w:t xml:space="preserve"> </w:t>
      </w:r>
      <w:r w:rsidR="00B703D0" w:rsidRPr="001D71C4">
        <w:rPr>
          <w:rFonts w:eastAsia="Times New Roman" w:cs="Arial"/>
          <w:bCs/>
          <w:lang w:eastAsia="sv-SE"/>
        </w:rPr>
        <w:t xml:space="preserve">minska </w:t>
      </w:r>
      <w:r w:rsidR="00266FDD" w:rsidRPr="001D71C4">
        <w:rPr>
          <w:rFonts w:eastAsia="Times New Roman" w:cs="Arial"/>
          <w:bCs/>
          <w:lang w:eastAsia="sv-SE"/>
        </w:rPr>
        <w:t xml:space="preserve">jämfört med </w:t>
      </w:r>
      <w:r w:rsidR="004F6FDE" w:rsidRPr="001D71C4">
        <w:rPr>
          <w:rFonts w:eastAsia="Times New Roman" w:cs="Arial"/>
          <w:bCs/>
          <w:lang w:eastAsia="sv-SE"/>
        </w:rPr>
        <w:t>föregående år.</w:t>
      </w:r>
      <w:r w:rsidR="001D71C4">
        <w:rPr>
          <w:rFonts w:eastAsia="Times New Roman" w:cs="Arial"/>
          <w:bCs/>
          <w:lang w:eastAsia="sv-SE"/>
        </w:rPr>
        <w:t xml:space="preserve"> Samordning av transporter och minskad flytt av bil under veckoslut är anledningen till detta.</w:t>
      </w:r>
      <w:r w:rsidR="001F16BB" w:rsidRPr="001F16BB">
        <w:rPr>
          <w:noProof/>
          <w:lang w:eastAsia="sv-SE"/>
        </w:rPr>
        <w:t xml:space="preserve"> </w:t>
      </w:r>
      <w:r w:rsidR="00E24E78">
        <w:rPr>
          <w:noProof/>
          <w:lang w:eastAsia="sv-SE"/>
        </w:rPr>
        <w:drawing>
          <wp:inline distT="0" distB="0" distL="0" distR="0" wp14:anchorId="209A4F3B" wp14:editId="08A37D4D">
            <wp:extent cx="5540375" cy="1772285"/>
            <wp:effectExtent l="0" t="0" r="3175"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0375" cy="1772285"/>
                    </a:xfrm>
                    <a:prstGeom prst="rect">
                      <a:avLst/>
                    </a:prstGeom>
                  </pic:spPr>
                </pic:pic>
              </a:graphicData>
            </a:graphic>
          </wp:inline>
        </w:drawing>
      </w:r>
      <w:r w:rsidR="00732707" w:rsidRPr="00EA6971">
        <w:rPr>
          <w:noProof/>
          <w:lang w:eastAsia="sv-SE"/>
        </w:rPr>
        <w:t xml:space="preserve"> </w:t>
      </w:r>
    </w:p>
    <w:p w14:paraId="51AEB5E3" w14:textId="0507B761" w:rsidR="00732707" w:rsidRPr="00CB4FDF" w:rsidRDefault="00CB4FDF" w:rsidP="0009233A">
      <w:pPr>
        <w:tabs>
          <w:tab w:val="left" w:pos="7210"/>
        </w:tabs>
        <w:ind w:left="426"/>
        <w:rPr>
          <w:lang w:eastAsia="sv-SE"/>
        </w:rPr>
      </w:pPr>
      <w:r>
        <w:rPr>
          <w:lang w:eastAsia="sv-SE"/>
        </w:rPr>
        <w:t>Egna interna bilförflyttningar i flottan klimatkompenseras. Dessa förflyttningar fortsätter att minska.</w:t>
      </w:r>
    </w:p>
    <w:p w14:paraId="0A9F5E5D" w14:textId="77777777" w:rsidR="003208E2" w:rsidRPr="00EA6971" w:rsidRDefault="003208E2" w:rsidP="00CD1AC0">
      <w:pPr>
        <w:spacing w:after="0"/>
        <w:ind w:left="352"/>
        <w:rPr>
          <w:rFonts w:eastAsia="Times New Roman" w:cs="Arial"/>
          <w:b/>
          <w:bCs/>
          <w:sz w:val="20"/>
          <w:szCs w:val="20"/>
          <w:lang w:eastAsia="sv-SE"/>
        </w:rPr>
      </w:pPr>
    </w:p>
    <w:p w14:paraId="1EF3BE79" w14:textId="77777777" w:rsidR="00AA16A4" w:rsidRPr="00DB65CA" w:rsidRDefault="00AA16A4" w:rsidP="007D3146">
      <w:pPr>
        <w:ind w:left="392"/>
        <w:rPr>
          <w:noProof/>
          <w:lang w:eastAsia="sv-SE"/>
        </w:rPr>
      </w:pPr>
      <w:r w:rsidRPr="00DB65CA">
        <w:rPr>
          <w:rFonts w:eastAsia="Times New Roman" w:cs="Arial"/>
          <w:b/>
          <w:bCs/>
          <w:sz w:val="20"/>
          <w:szCs w:val="20"/>
          <w:lang w:eastAsia="sv-SE"/>
        </w:rPr>
        <w:t>Andel körda k</w:t>
      </w:r>
      <w:r w:rsidR="00AA3D4D" w:rsidRPr="00DB65CA">
        <w:rPr>
          <w:rFonts w:eastAsia="Times New Roman" w:cs="Arial"/>
          <w:b/>
          <w:bCs/>
          <w:sz w:val="20"/>
          <w:szCs w:val="20"/>
          <w:lang w:eastAsia="sv-SE"/>
        </w:rPr>
        <w:t>ilo</w:t>
      </w:r>
      <w:r w:rsidRPr="00DB65CA">
        <w:rPr>
          <w:rFonts w:eastAsia="Times New Roman" w:cs="Arial"/>
          <w:b/>
          <w:bCs/>
          <w:sz w:val="20"/>
          <w:szCs w:val="20"/>
          <w:lang w:eastAsia="sv-SE"/>
        </w:rPr>
        <w:t>m</w:t>
      </w:r>
      <w:r w:rsidR="00AA3D4D" w:rsidRPr="00DB65CA">
        <w:rPr>
          <w:rFonts w:eastAsia="Times New Roman" w:cs="Arial"/>
          <w:b/>
          <w:bCs/>
          <w:sz w:val="20"/>
          <w:szCs w:val="20"/>
          <w:lang w:eastAsia="sv-SE"/>
        </w:rPr>
        <w:t>eter</w:t>
      </w:r>
      <w:r w:rsidRPr="00DB65CA">
        <w:rPr>
          <w:rFonts w:eastAsia="Times New Roman" w:cs="Arial"/>
          <w:b/>
          <w:bCs/>
          <w:sz w:val="20"/>
          <w:szCs w:val="20"/>
          <w:lang w:eastAsia="sv-SE"/>
        </w:rPr>
        <w:t xml:space="preserve"> per bränsleslag</w:t>
      </w:r>
    </w:p>
    <w:p w14:paraId="07DEF3A3" w14:textId="0C1CAE6E" w:rsidR="007D3146" w:rsidRPr="007D3146" w:rsidRDefault="00DE2106" w:rsidP="007D3146">
      <w:pPr>
        <w:ind w:left="392"/>
        <w:rPr>
          <w:rFonts w:eastAsia="Times New Roman" w:cs="Arial"/>
          <w:b/>
          <w:bCs/>
          <w:sz w:val="20"/>
          <w:szCs w:val="20"/>
          <w:highlight w:val="yellow"/>
          <w:lang w:eastAsia="sv-SE"/>
        </w:rPr>
      </w:pPr>
      <w:r>
        <w:rPr>
          <w:noProof/>
          <w:lang w:eastAsia="sv-SE"/>
        </w:rPr>
        <w:drawing>
          <wp:inline distT="0" distB="0" distL="0" distR="0" wp14:anchorId="435C6164" wp14:editId="0BF98BB8">
            <wp:extent cx="5288280" cy="2819400"/>
            <wp:effectExtent l="0" t="0" r="762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B29E0">
        <w:rPr>
          <w:noProof/>
          <w:lang w:eastAsia="sv-SE"/>
        </w:rPr>
        <w:t xml:space="preserve"> </w:t>
      </w:r>
    </w:p>
    <w:p w14:paraId="0F35793A" w14:textId="6E483E3A" w:rsidR="00D51FED" w:rsidRPr="007D3146" w:rsidRDefault="000B29E0" w:rsidP="00CD1AC0">
      <w:pPr>
        <w:spacing w:after="0"/>
        <w:ind w:left="352"/>
        <w:rPr>
          <w:rFonts w:eastAsia="Times New Roman" w:cs="Arial"/>
          <w:bCs/>
          <w:lang w:eastAsia="sv-SE"/>
        </w:rPr>
      </w:pPr>
      <w:r>
        <w:rPr>
          <w:rFonts w:eastAsia="Times New Roman" w:cs="Arial"/>
          <w:bCs/>
          <w:lang w:eastAsia="sv-SE"/>
        </w:rPr>
        <w:t>Di</w:t>
      </w:r>
      <w:r w:rsidR="007D3146" w:rsidRPr="00DB65CA">
        <w:rPr>
          <w:rFonts w:eastAsia="Times New Roman" w:cs="Arial"/>
          <w:bCs/>
          <w:lang w:eastAsia="sv-SE"/>
        </w:rPr>
        <w:t>esel</w:t>
      </w:r>
      <w:r>
        <w:rPr>
          <w:rFonts w:eastAsia="Times New Roman" w:cs="Arial"/>
          <w:bCs/>
          <w:lang w:eastAsia="sv-SE"/>
        </w:rPr>
        <w:t xml:space="preserve"> som </w:t>
      </w:r>
      <w:r w:rsidR="007D3146" w:rsidRPr="00DB65CA">
        <w:rPr>
          <w:rFonts w:eastAsia="Times New Roman" w:cs="Arial"/>
          <w:bCs/>
          <w:lang w:eastAsia="sv-SE"/>
        </w:rPr>
        <w:t>bränsleval</w:t>
      </w:r>
      <w:r>
        <w:rPr>
          <w:rFonts w:eastAsia="Times New Roman" w:cs="Arial"/>
          <w:bCs/>
          <w:lang w:eastAsia="sv-SE"/>
        </w:rPr>
        <w:t xml:space="preserve"> ökar och el och bensin </w:t>
      </w:r>
      <w:r w:rsidR="007D3146" w:rsidRPr="00DB65CA">
        <w:rPr>
          <w:rFonts w:eastAsia="Times New Roman" w:cs="Arial"/>
          <w:bCs/>
          <w:lang w:eastAsia="sv-SE"/>
        </w:rPr>
        <w:t>minskar.</w:t>
      </w:r>
    </w:p>
    <w:p w14:paraId="117864B7" w14:textId="77777777" w:rsidR="007D3146" w:rsidRPr="00EA6971" w:rsidRDefault="007D3146" w:rsidP="00CD1AC0">
      <w:pPr>
        <w:spacing w:after="0"/>
        <w:ind w:left="352"/>
        <w:rPr>
          <w:rFonts w:eastAsia="Times New Roman" w:cs="Arial"/>
          <w:b/>
          <w:bCs/>
          <w:sz w:val="20"/>
          <w:szCs w:val="20"/>
          <w:lang w:eastAsia="sv-SE"/>
        </w:rPr>
      </w:pPr>
    </w:p>
    <w:p w14:paraId="4E915F95" w14:textId="77777777" w:rsidR="00886C70" w:rsidRPr="006B7FC6" w:rsidRDefault="00886C70" w:rsidP="00CD1AC0">
      <w:pPr>
        <w:spacing w:after="0"/>
        <w:ind w:left="352"/>
        <w:rPr>
          <w:rFonts w:eastAsia="Times New Roman" w:cs="Arial"/>
          <w:b/>
          <w:bCs/>
          <w:sz w:val="20"/>
          <w:szCs w:val="20"/>
          <w:lang w:eastAsia="sv-SE"/>
        </w:rPr>
      </w:pPr>
      <w:r w:rsidRPr="006B7FC6">
        <w:rPr>
          <w:rFonts w:eastAsia="Times New Roman" w:cs="Arial"/>
          <w:b/>
          <w:bCs/>
          <w:sz w:val="20"/>
          <w:szCs w:val="20"/>
          <w:lang w:eastAsia="sv-SE"/>
        </w:rPr>
        <w:t>K</w:t>
      </w:r>
      <w:r w:rsidR="00AA3D4D" w:rsidRPr="006B7FC6">
        <w:rPr>
          <w:rFonts w:eastAsia="Times New Roman" w:cs="Arial"/>
          <w:b/>
          <w:bCs/>
          <w:sz w:val="20"/>
          <w:szCs w:val="20"/>
          <w:lang w:eastAsia="sv-SE"/>
        </w:rPr>
        <w:t>ilogram</w:t>
      </w:r>
      <w:r w:rsidRPr="006B7FC6">
        <w:rPr>
          <w:rFonts w:eastAsia="Times New Roman" w:cs="Arial"/>
          <w:b/>
          <w:bCs/>
          <w:sz w:val="20"/>
          <w:szCs w:val="20"/>
          <w:lang w:eastAsia="sv-SE"/>
        </w:rPr>
        <w:t xml:space="preserve"> CO / NOx / Partiklar från däck</w:t>
      </w:r>
    </w:p>
    <w:p w14:paraId="3A0CB517" w14:textId="3CE2339C" w:rsidR="008229D3" w:rsidRPr="006B7FC6" w:rsidRDefault="006B7FC6" w:rsidP="00CD1AC0">
      <w:pPr>
        <w:spacing w:after="0"/>
        <w:ind w:left="352"/>
        <w:rPr>
          <w:rFonts w:eastAsia="Times New Roman" w:cs="Arial"/>
          <w:bCs/>
          <w:sz w:val="20"/>
          <w:szCs w:val="20"/>
          <w:lang w:eastAsia="sv-SE"/>
        </w:rPr>
      </w:pPr>
      <w:r w:rsidRPr="006B7FC6">
        <w:rPr>
          <w:rFonts w:eastAsia="Times New Roman" w:cs="Arial"/>
          <w:bCs/>
          <w:sz w:val="20"/>
          <w:szCs w:val="20"/>
          <w:lang w:eastAsia="sv-SE"/>
        </w:rPr>
        <w:t xml:space="preserve">Antalet transaktioner ökar </w:t>
      </w:r>
      <w:r w:rsidR="00A02232">
        <w:rPr>
          <w:rFonts w:eastAsia="Times New Roman" w:cs="Arial"/>
          <w:bCs/>
          <w:sz w:val="20"/>
          <w:szCs w:val="20"/>
          <w:lang w:eastAsia="sv-SE"/>
        </w:rPr>
        <w:t>under 2019</w:t>
      </w:r>
      <w:r>
        <w:rPr>
          <w:rFonts w:eastAsia="Times New Roman" w:cs="Arial"/>
          <w:bCs/>
          <w:sz w:val="20"/>
          <w:szCs w:val="20"/>
          <w:lang w:eastAsia="sv-SE"/>
        </w:rPr>
        <w:t xml:space="preserve"> </w:t>
      </w:r>
      <w:r w:rsidRPr="006B7FC6">
        <w:rPr>
          <w:rFonts w:eastAsia="Times New Roman" w:cs="Arial"/>
          <w:bCs/>
          <w:sz w:val="20"/>
          <w:szCs w:val="20"/>
          <w:lang w:eastAsia="sv-SE"/>
        </w:rPr>
        <w:t>vilket påverkar våra utsläpp som då ökar.</w:t>
      </w:r>
      <w:r w:rsidR="006C74AC">
        <w:rPr>
          <w:rFonts w:eastAsia="Times New Roman" w:cs="Arial"/>
          <w:bCs/>
          <w:sz w:val="20"/>
          <w:szCs w:val="20"/>
          <w:lang w:eastAsia="sv-SE"/>
        </w:rPr>
        <w:t xml:space="preserve"> Samt att WLTP (mätmetod) även ger förändrade mätresultat jämfört med NEDC.</w:t>
      </w:r>
    </w:p>
    <w:p w14:paraId="2AABCEFE" w14:textId="760CF86A" w:rsidR="006B7FC6" w:rsidRDefault="006C74AC" w:rsidP="008956B5">
      <w:pPr>
        <w:ind w:left="350"/>
        <w:rPr>
          <w:rFonts w:eastAsia="Times New Roman" w:cs="Arial"/>
          <w:b/>
          <w:bCs/>
          <w:sz w:val="16"/>
          <w:szCs w:val="16"/>
          <w:highlight w:val="yellow"/>
          <w:lang w:eastAsia="sv-SE"/>
        </w:rPr>
      </w:pPr>
      <w:r>
        <w:rPr>
          <w:noProof/>
          <w:lang w:eastAsia="sv-SE"/>
        </w:rPr>
        <w:drawing>
          <wp:inline distT="0" distB="0" distL="0" distR="0" wp14:anchorId="6AA2E4FB" wp14:editId="59EF1CEA">
            <wp:extent cx="4311650" cy="1633220"/>
            <wp:effectExtent l="0" t="0" r="12700" b="508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8A054D" w14:textId="77777777" w:rsidR="006C74AC" w:rsidRDefault="006C74AC" w:rsidP="00CD1AC0">
      <w:pPr>
        <w:spacing w:after="0"/>
        <w:ind w:left="352"/>
        <w:rPr>
          <w:rFonts w:eastAsia="Times New Roman" w:cs="Arial"/>
          <w:b/>
          <w:bCs/>
          <w:sz w:val="20"/>
          <w:szCs w:val="20"/>
          <w:lang w:eastAsia="sv-SE"/>
        </w:rPr>
      </w:pPr>
    </w:p>
    <w:p w14:paraId="147BAB99" w14:textId="77777777" w:rsidR="008956B5" w:rsidRDefault="008956B5" w:rsidP="00CD1AC0">
      <w:pPr>
        <w:spacing w:after="0"/>
        <w:ind w:left="352"/>
        <w:rPr>
          <w:rFonts w:eastAsia="Times New Roman" w:cs="Arial"/>
          <w:b/>
          <w:bCs/>
          <w:sz w:val="20"/>
          <w:szCs w:val="20"/>
          <w:lang w:eastAsia="sv-SE"/>
        </w:rPr>
      </w:pPr>
      <w:r w:rsidRPr="006B7FC6">
        <w:rPr>
          <w:rFonts w:eastAsia="Times New Roman" w:cs="Arial"/>
          <w:b/>
          <w:bCs/>
          <w:sz w:val="20"/>
          <w:szCs w:val="20"/>
          <w:lang w:eastAsia="sv-SE"/>
        </w:rPr>
        <w:t>K</w:t>
      </w:r>
      <w:r w:rsidR="00AA3D4D" w:rsidRPr="006B7FC6">
        <w:rPr>
          <w:rFonts w:eastAsia="Times New Roman" w:cs="Arial"/>
          <w:b/>
          <w:bCs/>
          <w:sz w:val="20"/>
          <w:szCs w:val="20"/>
          <w:lang w:eastAsia="sv-SE"/>
        </w:rPr>
        <w:t>ilo</w:t>
      </w:r>
      <w:r w:rsidRPr="006B7FC6">
        <w:rPr>
          <w:rFonts w:eastAsia="Times New Roman" w:cs="Arial"/>
          <w:b/>
          <w:bCs/>
          <w:sz w:val="20"/>
          <w:szCs w:val="20"/>
          <w:lang w:eastAsia="sv-SE"/>
        </w:rPr>
        <w:t>g</w:t>
      </w:r>
      <w:r w:rsidR="00AA3D4D" w:rsidRPr="006B7FC6">
        <w:rPr>
          <w:rFonts w:eastAsia="Times New Roman" w:cs="Arial"/>
          <w:b/>
          <w:bCs/>
          <w:sz w:val="20"/>
          <w:szCs w:val="20"/>
          <w:lang w:eastAsia="sv-SE"/>
        </w:rPr>
        <w:t>ram</w:t>
      </w:r>
      <w:r w:rsidRPr="006B7FC6">
        <w:rPr>
          <w:rFonts w:eastAsia="Times New Roman" w:cs="Arial"/>
          <w:b/>
          <w:bCs/>
          <w:sz w:val="20"/>
          <w:szCs w:val="20"/>
          <w:lang w:eastAsia="sv-SE"/>
        </w:rPr>
        <w:t xml:space="preserve"> partiklar från diesel</w:t>
      </w:r>
    </w:p>
    <w:p w14:paraId="69510975" w14:textId="55CFBC05" w:rsidR="006B7FC6" w:rsidRPr="006B7FC6" w:rsidRDefault="006B7FC6" w:rsidP="00CD1AC0">
      <w:pPr>
        <w:spacing w:after="0"/>
        <w:ind w:left="352"/>
        <w:rPr>
          <w:rFonts w:eastAsia="Times New Roman" w:cs="Arial"/>
          <w:bCs/>
          <w:sz w:val="20"/>
          <w:szCs w:val="20"/>
          <w:lang w:eastAsia="sv-SE"/>
        </w:rPr>
      </w:pPr>
      <w:r w:rsidRPr="006B7FC6">
        <w:rPr>
          <w:rFonts w:eastAsia="Times New Roman" w:cs="Arial"/>
          <w:bCs/>
          <w:sz w:val="20"/>
          <w:szCs w:val="20"/>
          <w:lang w:eastAsia="sv-SE"/>
        </w:rPr>
        <w:t xml:space="preserve">Vi har under året fått in allt fler </w:t>
      </w:r>
      <w:r w:rsidR="002505ED">
        <w:rPr>
          <w:rFonts w:eastAsia="Times New Roman" w:cs="Arial"/>
          <w:bCs/>
          <w:sz w:val="20"/>
          <w:szCs w:val="20"/>
          <w:lang w:eastAsia="sv-SE"/>
        </w:rPr>
        <w:t>diesel</w:t>
      </w:r>
      <w:r w:rsidRPr="006B7FC6">
        <w:rPr>
          <w:rFonts w:eastAsia="Times New Roman" w:cs="Arial"/>
          <w:bCs/>
          <w:sz w:val="20"/>
          <w:szCs w:val="20"/>
          <w:lang w:eastAsia="sv-SE"/>
        </w:rPr>
        <w:t xml:space="preserve">bilar och vilket lett till att dieselförbrukningen </w:t>
      </w:r>
      <w:r w:rsidR="002505ED">
        <w:rPr>
          <w:rFonts w:eastAsia="Times New Roman" w:cs="Arial"/>
          <w:bCs/>
          <w:sz w:val="20"/>
          <w:szCs w:val="20"/>
          <w:lang w:eastAsia="sv-SE"/>
        </w:rPr>
        <w:t>ökat igen.</w:t>
      </w:r>
    </w:p>
    <w:p w14:paraId="6772D676" w14:textId="77777777" w:rsidR="008229D3" w:rsidRPr="006B7FC6" w:rsidRDefault="008229D3" w:rsidP="00CD1AC0">
      <w:pPr>
        <w:spacing w:after="0"/>
        <w:ind w:left="352"/>
        <w:rPr>
          <w:rFonts w:eastAsia="Times New Roman" w:cs="Arial"/>
          <w:bCs/>
          <w:sz w:val="20"/>
          <w:szCs w:val="20"/>
          <w:highlight w:val="yellow"/>
          <w:lang w:eastAsia="sv-SE"/>
        </w:rPr>
      </w:pPr>
    </w:p>
    <w:p w14:paraId="3B9A4A74" w14:textId="433241BB" w:rsidR="003208E2" w:rsidRPr="00F22997" w:rsidRDefault="002505ED" w:rsidP="00CD1AC0">
      <w:pPr>
        <w:spacing w:after="0"/>
        <w:ind w:left="352"/>
        <w:rPr>
          <w:rFonts w:eastAsia="Times New Roman" w:cs="Arial"/>
          <w:b/>
          <w:bCs/>
          <w:sz w:val="16"/>
          <w:szCs w:val="16"/>
          <w:highlight w:val="yellow"/>
          <w:lang w:eastAsia="sv-SE"/>
        </w:rPr>
      </w:pPr>
      <w:r>
        <w:rPr>
          <w:noProof/>
          <w:lang w:eastAsia="sv-SE"/>
        </w:rPr>
        <w:drawing>
          <wp:inline distT="0" distB="0" distL="0" distR="0" wp14:anchorId="6EBC38EE" wp14:editId="57184A81">
            <wp:extent cx="4046220" cy="1733550"/>
            <wp:effectExtent l="0" t="0" r="1143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sv-SE"/>
        </w:rPr>
        <w:t xml:space="preserve"> </w:t>
      </w:r>
    </w:p>
    <w:p w14:paraId="292718F6" w14:textId="77777777" w:rsidR="006D39B6" w:rsidRPr="00F22997" w:rsidRDefault="006D39B6" w:rsidP="00981BD0">
      <w:pPr>
        <w:spacing w:after="0"/>
        <w:ind w:left="352"/>
        <w:rPr>
          <w:b/>
          <w:sz w:val="16"/>
          <w:szCs w:val="16"/>
          <w:highlight w:val="yellow"/>
        </w:rPr>
      </w:pPr>
    </w:p>
    <w:p w14:paraId="5BF56085" w14:textId="77777777" w:rsidR="00A45F09" w:rsidRPr="005C1A23" w:rsidRDefault="00A45F09" w:rsidP="00981BD0">
      <w:pPr>
        <w:spacing w:after="0"/>
        <w:ind w:left="352"/>
        <w:rPr>
          <w:b/>
          <w:sz w:val="20"/>
          <w:szCs w:val="20"/>
        </w:rPr>
      </w:pPr>
      <w:r w:rsidRPr="005C1A23">
        <w:rPr>
          <w:b/>
          <w:sz w:val="20"/>
          <w:szCs w:val="20"/>
        </w:rPr>
        <w:t>Minskade CO</w:t>
      </w:r>
      <w:r w:rsidRPr="005C1A23">
        <w:rPr>
          <w:b/>
          <w:sz w:val="20"/>
          <w:szCs w:val="20"/>
          <w:vertAlign w:val="subscript"/>
        </w:rPr>
        <w:t>2</w:t>
      </w:r>
      <w:r w:rsidRPr="005C1A23">
        <w:rPr>
          <w:b/>
          <w:sz w:val="20"/>
          <w:szCs w:val="20"/>
        </w:rPr>
        <w:t xml:space="preserve"> utsläpp HVO-bränsle i egen </w:t>
      </w:r>
      <w:r w:rsidR="00755038" w:rsidRPr="005C1A23">
        <w:rPr>
          <w:b/>
          <w:sz w:val="20"/>
          <w:szCs w:val="20"/>
        </w:rPr>
        <w:t>tankstation</w:t>
      </w:r>
    </w:p>
    <w:p w14:paraId="202B6DF0" w14:textId="14892BA3" w:rsidR="0058263E" w:rsidRDefault="00A45F09" w:rsidP="0058263E">
      <w:pPr>
        <w:ind w:left="352"/>
      </w:pPr>
      <w:r w:rsidRPr="005C1A23">
        <w:t>Vi köper HVO</w:t>
      </w:r>
      <w:r w:rsidR="005C1A23" w:rsidRPr="005C1A23">
        <w:t xml:space="preserve"> inblandad di</w:t>
      </w:r>
      <w:r w:rsidRPr="005C1A23">
        <w:t>esel</w:t>
      </w:r>
      <w:r w:rsidR="003F4CBD" w:rsidRPr="005C1A23">
        <w:t xml:space="preserve"> </w:t>
      </w:r>
      <w:r w:rsidRPr="005C1A23">
        <w:t xml:space="preserve">tillverkad </w:t>
      </w:r>
      <w:r w:rsidR="00755038" w:rsidRPr="005C1A23">
        <w:t xml:space="preserve">av </w:t>
      </w:r>
      <w:r w:rsidRPr="005C1A23">
        <w:t xml:space="preserve">tallskog vilket minskar koldioxidutsläppen. Detta är möjligt tack vare att man raffinerar och blandar fossil råvara tillsammans med förnybar råvara. Beräkningen av de minskade koldioxidutsläppen från leverantören är gjorda i en så kallad Well to Wheel-analys (WTW). En livscykelanalys som tar hänsyn till hela produktionskedjan. Alla utsläpp i varje steg </w:t>
      </w:r>
      <w:r w:rsidR="00755038" w:rsidRPr="005C1A23">
        <w:t>av</w:t>
      </w:r>
      <w:r w:rsidRPr="005C1A23">
        <w:t xml:space="preserve"> tillverkningen räknas samman, vilket innebär att en totalbild </w:t>
      </w:r>
      <w:r w:rsidR="00755038" w:rsidRPr="005C1A23">
        <w:t xml:space="preserve">över </w:t>
      </w:r>
      <w:r w:rsidRPr="005C1A23">
        <w:t xml:space="preserve">vad det "kostar" miljön att ta fram och använda bränslet. </w:t>
      </w:r>
      <w:r w:rsidR="003F4CBD" w:rsidRPr="005C1A23">
        <w:t>Genom att använda en biodiesel kan man minska sina CO</w:t>
      </w:r>
      <w:r w:rsidR="003F4CBD" w:rsidRPr="005C1A23">
        <w:rPr>
          <w:vertAlign w:val="subscript"/>
        </w:rPr>
        <w:t>2</w:t>
      </w:r>
      <w:r w:rsidR="003F4CBD" w:rsidRPr="005C1A23">
        <w:t>-utsläpp</w:t>
      </w:r>
      <w:r w:rsidR="00755038" w:rsidRPr="0058263E">
        <w:t xml:space="preserve">. </w:t>
      </w:r>
      <w:bookmarkStart w:id="21" w:name="_GoBack"/>
      <w:bookmarkEnd w:id="21"/>
    </w:p>
    <w:p w14:paraId="59706783" w14:textId="77777777" w:rsidR="00981BD0" w:rsidRPr="005C1A23" w:rsidRDefault="00981BD0" w:rsidP="00981BD0">
      <w:pPr>
        <w:spacing w:after="0"/>
        <w:ind w:left="352"/>
        <w:rPr>
          <w:b/>
          <w:sz w:val="20"/>
          <w:szCs w:val="20"/>
        </w:rPr>
      </w:pPr>
      <w:r w:rsidRPr="005C1A23">
        <w:rPr>
          <w:b/>
          <w:sz w:val="20"/>
          <w:szCs w:val="20"/>
        </w:rPr>
        <w:t>Redovisning av fördelning av interna utsläpp av växthusgaser</w:t>
      </w:r>
    </w:p>
    <w:p w14:paraId="48841A32" w14:textId="76EC0839" w:rsidR="00E83E8C" w:rsidRPr="00EA6971" w:rsidRDefault="00266FDD" w:rsidP="00606A6B">
      <w:pPr>
        <w:autoSpaceDE w:val="0"/>
        <w:autoSpaceDN w:val="0"/>
        <w:adjustRightInd w:val="0"/>
        <w:spacing w:after="0" w:line="240" w:lineRule="auto"/>
        <w:ind w:left="352"/>
      </w:pPr>
      <w:r w:rsidRPr="005C1A23">
        <w:t xml:space="preserve">För </w:t>
      </w:r>
      <w:r w:rsidR="00910E34" w:rsidRPr="005C1A23">
        <w:t xml:space="preserve">fordonstvätt så har </w:t>
      </w:r>
      <w:r w:rsidRPr="005C1A23">
        <w:t xml:space="preserve">vi beräknat </w:t>
      </w:r>
      <w:r w:rsidR="00910E34" w:rsidRPr="005C1A23">
        <w:t xml:space="preserve">energiåtgången i egna hallar. </w:t>
      </w:r>
      <w:r w:rsidRPr="005C1A23">
        <w:t xml:space="preserve">Vi har inte mätt energiåtgången för externa </w:t>
      </w:r>
      <w:r w:rsidR="00910E34" w:rsidRPr="005C1A23">
        <w:t>tvättar.</w:t>
      </w:r>
      <w:r w:rsidR="00910E34" w:rsidRPr="00EA6971">
        <w:t xml:space="preserve"> </w:t>
      </w:r>
    </w:p>
    <w:p w14:paraId="0EEDBF4B" w14:textId="77777777" w:rsidR="00910E34" w:rsidRDefault="00910E34" w:rsidP="00910E34">
      <w:pPr>
        <w:autoSpaceDE w:val="0"/>
        <w:autoSpaceDN w:val="0"/>
        <w:adjustRightInd w:val="0"/>
        <w:spacing w:after="0" w:line="240" w:lineRule="auto"/>
        <w:ind w:left="360"/>
      </w:pPr>
    </w:p>
    <w:p w14:paraId="28B7A1B8" w14:textId="77777777" w:rsidR="004A0B1A" w:rsidRPr="00EA6971" w:rsidRDefault="004A0B1A" w:rsidP="00910E34">
      <w:pPr>
        <w:autoSpaceDE w:val="0"/>
        <w:autoSpaceDN w:val="0"/>
        <w:adjustRightInd w:val="0"/>
        <w:spacing w:after="0" w:line="240" w:lineRule="auto"/>
        <w:ind w:left="360"/>
      </w:pPr>
    </w:p>
    <w:p w14:paraId="51D04C87" w14:textId="77777777" w:rsidR="00A221FC" w:rsidRPr="00EA6971" w:rsidRDefault="00A221FC" w:rsidP="00910E34">
      <w:pPr>
        <w:autoSpaceDE w:val="0"/>
        <w:autoSpaceDN w:val="0"/>
        <w:adjustRightInd w:val="0"/>
        <w:spacing w:after="0" w:line="240" w:lineRule="auto"/>
        <w:ind w:left="360"/>
        <w:rPr>
          <w:b/>
          <w:sz w:val="20"/>
          <w:szCs w:val="20"/>
        </w:rPr>
      </w:pPr>
      <w:r w:rsidRPr="00EA6971">
        <w:rPr>
          <w:b/>
          <w:sz w:val="20"/>
          <w:szCs w:val="20"/>
        </w:rPr>
        <w:t xml:space="preserve">Fördelning energiförbrukning </w:t>
      </w:r>
    </w:p>
    <w:p w14:paraId="2D1BA52A" w14:textId="27C3CEC9" w:rsidR="004A0B1A" w:rsidRDefault="00A221FC" w:rsidP="004A0B1A">
      <w:pPr>
        <w:spacing w:after="0"/>
        <w:ind w:left="352"/>
      </w:pPr>
      <w:r w:rsidRPr="005C1A23">
        <w:t>Inga</w:t>
      </w:r>
      <w:r w:rsidR="00972896" w:rsidRPr="005C1A23">
        <w:t xml:space="preserve"> </w:t>
      </w:r>
      <w:r w:rsidRPr="005C1A23">
        <w:t>väsentliga förändringar har skett under 201</w:t>
      </w:r>
      <w:r w:rsidR="004A0B1A">
        <w:t>9</w:t>
      </w:r>
      <w:r w:rsidRPr="005C1A23">
        <w:t xml:space="preserve">. </w:t>
      </w:r>
      <w:r w:rsidR="00EA6971" w:rsidRPr="005C1A23">
        <w:t>Den stora miljöpåverkande faktorn är våra</w:t>
      </w:r>
      <w:r w:rsidRPr="005C1A23">
        <w:t xml:space="preserve"> interna transporter</w:t>
      </w:r>
      <w:r w:rsidR="00EA6971" w:rsidRPr="005C1A23">
        <w:t xml:space="preserve"> av fordon. </w:t>
      </w:r>
    </w:p>
    <w:p w14:paraId="189C070A" w14:textId="77777777" w:rsidR="004A0B1A" w:rsidRPr="00EA6971" w:rsidRDefault="004A0B1A" w:rsidP="00606A6B">
      <w:pPr>
        <w:ind w:left="360"/>
      </w:pPr>
    </w:p>
    <w:p w14:paraId="030F75BB" w14:textId="77777777" w:rsidR="00606A6B" w:rsidRDefault="0051536C" w:rsidP="00606A6B">
      <w:pPr>
        <w:ind w:firstLine="352"/>
        <w:rPr>
          <w:b/>
          <w:sz w:val="20"/>
          <w:szCs w:val="20"/>
        </w:rPr>
      </w:pPr>
      <w:r w:rsidRPr="009402BA">
        <w:rPr>
          <w:b/>
          <w:sz w:val="20"/>
          <w:szCs w:val="20"/>
        </w:rPr>
        <w:t>Redovisning av vattenförbrukning fördelat på tvättyp</w:t>
      </w:r>
    </w:p>
    <w:p w14:paraId="64BB2AF6" w14:textId="078FA78E" w:rsidR="008229D3" w:rsidRPr="00EA6971" w:rsidRDefault="00FC3B5E" w:rsidP="004A0B1A">
      <w:pPr>
        <w:ind w:left="352"/>
      </w:pPr>
      <w:r w:rsidRPr="009402BA">
        <w:t xml:space="preserve">Användningen av </w:t>
      </w:r>
      <w:r w:rsidR="00ED3389" w:rsidRPr="009402BA">
        <w:t>vattentvätt</w:t>
      </w:r>
      <w:r w:rsidRPr="009402BA">
        <w:t xml:space="preserve"> har </w:t>
      </w:r>
      <w:r w:rsidR="00BA55C1">
        <w:t>minskat</w:t>
      </w:r>
      <w:r w:rsidR="009402BA" w:rsidRPr="009402BA">
        <w:t xml:space="preserve"> något</w:t>
      </w:r>
      <w:r w:rsidRPr="009402BA">
        <w:t xml:space="preserve"> </w:t>
      </w:r>
      <w:r w:rsidR="000901CA" w:rsidRPr="009402BA">
        <w:t xml:space="preserve">jämfört med </w:t>
      </w:r>
      <w:r w:rsidRPr="009402BA">
        <w:t>föregående år</w:t>
      </w:r>
      <w:r w:rsidR="00ED3389" w:rsidRPr="009402BA">
        <w:t xml:space="preserve">. </w:t>
      </w:r>
      <w:r w:rsidR="00BA55C1">
        <w:t>A</w:t>
      </w:r>
      <w:r w:rsidR="009402BA" w:rsidRPr="009402BA">
        <w:t>ntalet transaktioner</w:t>
      </w:r>
      <w:r w:rsidR="00BA55C1">
        <w:t xml:space="preserve"> har minskat på egna stationer</w:t>
      </w:r>
      <w:r w:rsidR="009402BA" w:rsidRPr="009402BA">
        <w:t>.</w:t>
      </w:r>
      <w:r w:rsidRPr="009402BA">
        <w:t xml:space="preserve"> </w:t>
      </w:r>
      <w:r w:rsidR="00ED3389" w:rsidRPr="009402BA">
        <w:t>A</w:t>
      </w:r>
      <w:r w:rsidRPr="009402BA">
        <w:t>nvändningen av</w:t>
      </w:r>
      <w:r w:rsidR="004A0B1A">
        <w:t xml:space="preserve"> samtliga tvättslag har därför minskat något från föregående år. De Svanenmärkta tvättarna avser våra TRIO-anläggningar på Arlanda och Landvetter.</w:t>
      </w:r>
    </w:p>
    <w:p w14:paraId="7B6C00C5" w14:textId="1FD50C6F" w:rsidR="005860C9" w:rsidRPr="00EA6971" w:rsidRDefault="00BA55C1" w:rsidP="00981BD0">
      <w:pPr>
        <w:ind w:left="364"/>
        <w:rPr>
          <w:color w:val="000000" w:themeColor="text1"/>
        </w:rPr>
      </w:pPr>
      <w:r>
        <w:rPr>
          <w:noProof/>
          <w:lang w:eastAsia="sv-SE"/>
        </w:rPr>
        <w:drawing>
          <wp:inline distT="0" distB="0" distL="0" distR="0" wp14:anchorId="4B4AB6F8" wp14:editId="572F929C">
            <wp:extent cx="5540375" cy="1664970"/>
            <wp:effectExtent l="0" t="0" r="3175" b="1143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E0193D" w14:textId="669F47BA" w:rsidR="004A0B1A" w:rsidRDefault="004A0B1A" w:rsidP="00ED3389">
      <w:pPr>
        <w:ind w:left="364"/>
        <w:rPr>
          <w:color w:val="000000" w:themeColor="text1"/>
        </w:rPr>
      </w:pPr>
      <w:r>
        <w:rPr>
          <w:color w:val="000000" w:themeColor="text1"/>
        </w:rPr>
        <w:lastRenderedPageBreak/>
        <w:t>De vattenfria tvättarna används fortfarande på en del stationer under vissa perioder av året men finns ej med i vår statistik.</w:t>
      </w:r>
    </w:p>
    <w:p w14:paraId="4E351CD0" w14:textId="77777777" w:rsidR="004A0B1A" w:rsidRPr="00763B10" w:rsidRDefault="004A0B1A" w:rsidP="00ED3389">
      <w:pPr>
        <w:ind w:left="364"/>
        <w:rPr>
          <w:color w:val="000000" w:themeColor="text1"/>
        </w:rPr>
      </w:pPr>
    </w:p>
    <w:p w14:paraId="743EFE4C" w14:textId="77777777" w:rsidR="00C907DD" w:rsidRPr="00501847" w:rsidRDefault="00C907DD" w:rsidP="00981BD0">
      <w:pPr>
        <w:ind w:left="364"/>
        <w:rPr>
          <w:b/>
          <w:sz w:val="20"/>
          <w:szCs w:val="20"/>
        </w:rPr>
      </w:pPr>
      <w:r w:rsidRPr="00501847">
        <w:rPr>
          <w:b/>
          <w:sz w:val="20"/>
          <w:szCs w:val="20"/>
        </w:rPr>
        <w:t xml:space="preserve">Redovisning av kunders </w:t>
      </w:r>
      <w:r w:rsidR="000901CA" w:rsidRPr="00501847">
        <w:rPr>
          <w:b/>
          <w:sz w:val="20"/>
          <w:szCs w:val="20"/>
        </w:rPr>
        <w:t xml:space="preserve">klimatkompensation </w:t>
      </w:r>
      <w:r w:rsidR="005D65CF" w:rsidRPr="00501847">
        <w:rPr>
          <w:b/>
          <w:sz w:val="20"/>
          <w:szCs w:val="20"/>
        </w:rPr>
        <w:t>(CO</w:t>
      </w:r>
      <w:r w:rsidR="005D65CF" w:rsidRPr="00501847">
        <w:rPr>
          <w:b/>
          <w:sz w:val="20"/>
          <w:szCs w:val="20"/>
          <w:vertAlign w:val="subscript"/>
        </w:rPr>
        <w:t>2</w:t>
      </w:r>
      <w:r w:rsidR="000530A1" w:rsidRPr="00501847">
        <w:rPr>
          <w:b/>
          <w:sz w:val="20"/>
          <w:szCs w:val="20"/>
        </w:rPr>
        <w:t xml:space="preserve"> k</w:t>
      </w:r>
      <w:r w:rsidR="000901CA" w:rsidRPr="00501847">
        <w:rPr>
          <w:b/>
          <w:sz w:val="20"/>
          <w:szCs w:val="20"/>
        </w:rPr>
        <w:t>ilo</w:t>
      </w:r>
      <w:r w:rsidR="000530A1" w:rsidRPr="00501847">
        <w:rPr>
          <w:b/>
          <w:sz w:val="20"/>
          <w:szCs w:val="20"/>
        </w:rPr>
        <w:t>g</w:t>
      </w:r>
      <w:r w:rsidR="000901CA" w:rsidRPr="00501847">
        <w:rPr>
          <w:b/>
          <w:sz w:val="20"/>
          <w:szCs w:val="20"/>
        </w:rPr>
        <w:t xml:space="preserve">ram per </w:t>
      </w:r>
      <w:r w:rsidR="005D65CF" w:rsidRPr="00501847">
        <w:rPr>
          <w:b/>
          <w:sz w:val="20"/>
          <w:szCs w:val="20"/>
        </w:rPr>
        <w:t xml:space="preserve">år) </w:t>
      </w:r>
    </w:p>
    <w:p w14:paraId="5A5F2630" w14:textId="06952A39" w:rsidR="00910E34" w:rsidRPr="00606A6B" w:rsidRDefault="00822C91" w:rsidP="00606A6B">
      <w:pPr>
        <w:ind w:left="364"/>
        <w:rPr>
          <w:color w:val="000000" w:themeColor="text1"/>
          <w:highlight w:val="yellow"/>
        </w:rPr>
      </w:pPr>
      <w:r>
        <w:rPr>
          <w:noProof/>
          <w:lang w:eastAsia="sv-SE"/>
        </w:rPr>
        <w:drawing>
          <wp:inline distT="0" distB="0" distL="0" distR="0" wp14:anchorId="238193BE" wp14:editId="30DE72E7">
            <wp:extent cx="5540375" cy="1464945"/>
            <wp:effectExtent l="0" t="0" r="3175"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40375" cy="1464945"/>
                    </a:xfrm>
                    <a:prstGeom prst="rect">
                      <a:avLst/>
                    </a:prstGeom>
                  </pic:spPr>
                </pic:pic>
              </a:graphicData>
            </a:graphic>
          </wp:inline>
        </w:drawing>
      </w:r>
      <w:r w:rsidR="00D05517" w:rsidRPr="00AA69FF">
        <w:rPr>
          <w:color w:val="000000" w:themeColor="text1"/>
        </w:rPr>
        <w:t xml:space="preserve">Våra kunders </w:t>
      </w:r>
      <w:r w:rsidR="00440529" w:rsidRPr="00AA69FF">
        <w:rPr>
          <w:color w:val="000000" w:themeColor="text1"/>
        </w:rPr>
        <w:t xml:space="preserve">frivilliga </w:t>
      </w:r>
      <w:r w:rsidR="001F00CE" w:rsidRPr="00AA69FF">
        <w:rPr>
          <w:color w:val="000000" w:themeColor="text1"/>
        </w:rPr>
        <w:t xml:space="preserve">klimatkompensation </w:t>
      </w:r>
      <w:r w:rsidR="00D05517" w:rsidRPr="00AA69FF">
        <w:rPr>
          <w:color w:val="000000" w:themeColor="text1"/>
        </w:rPr>
        <w:t>har</w:t>
      </w:r>
      <w:r w:rsidR="00AA69FF" w:rsidRPr="00AA69FF">
        <w:rPr>
          <w:color w:val="000000" w:themeColor="text1"/>
        </w:rPr>
        <w:t xml:space="preserve"> ökat </w:t>
      </w:r>
      <w:r w:rsidR="002042BC" w:rsidRPr="00AA69FF">
        <w:rPr>
          <w:color w:val="000000" w:themeColor="text1"/>
        </w:rPr>
        <w:t>under 201</w:t>
      </w:r>
      <w:r w:rsidR="00EB1E7F">
        <w:rPr>
          <w:color w:val="000000" w:themeColor="text1"/>
        </w:rPr>
        <w:t>9</w:t>
      </w:r>
      <w:r w:rsidR="00D05517" w:rsidRPr="00AA69FF">
        <w:rPr>
          <w:color w:val="000000" w:themeColor="text1"/>
        </w:rPr>
        <w:t>.</w:t>
      </w:r>
      <w:r w:rsidR="00616A29" w:rsidRPr="00AA69FF">
        <w:rPr>
          <w:color w:val="000000" w:themeColor="text1"/>
        </w:rPr>
        <w:t xml:space="preserve"> </w:t>
      </w:r>
      <w:r w:rsidR="00EB1E7F">
        <w:rPr>
          <w:color w:val="000000" w:themeColor="text1"/>
        </w:rPr>
        <w:t>Detta beror på att Hertz från och med november 2019 klimatkompenserar för alla guldkunder och ICA-kunder enligt avtal.</w:t>
      </w:r>
      <w:r w:rsidR="00616A29" w:rsidRPr="00AA69FF">
        <w:rPr>
          <w:color w:val="000000" w:themeColor="text1"/>
        </w:rPr>
        <w:t xml:space="preserve"> </w:t>
      </w:r>
    </w:p>
    <w:p w14:paraId="0F48E857" w14:textId="77777777" w:rsidR="00114220" w:rsidRPr="00EA6971" w:rsidRDefault="008956B5" w:rsidP="00F5151B">
      <w:pPr>
        <w:pStyle w:val="Rubrik2"/>
        <w:ind w:left="426"/>
      </w:pPr>
      <w:r w:rsidRPr="00EA6971">
        <w:br w:type="page"/>
      </w:r>
      <w:bookmarkStart w:id="22" w:name="_Toc34657544"/>
      <w:r w:rsidR="00F5151B" w:rsidRPr="00EA6971">
        <w:rPr>
          <w:color w:val="000000" w:themeColor="text1"/>
        </w:rPr>
        <w:lastRenderedPageBreak/>
        <w:t xml:space="preserve">3.3 </w:t>
      </w:r>
      <w:r w:rsidR="00114220" w:rsidRPr="00EA6971">
        <w:rPr>
          <w:color w:val="000000" w:themeColor="text1"/>
        </w:rPr>
        <w:t>Resultat socialt</w:t>
      </w:r>
      <w:bookmarkEnd w:id="22"/>
    </w:p>
    <w:p w14:paraId="61614E00" w14:textId="66CB374D" w:rsidR="009214A2" w:rsidRPr="009214A2" w:rsidRDefault="009214A2" w:rsidP="009214A2">
      <w:pPr>
        <w:rPr>
          <w:color w:val="000000" w:themeColor="text1"/>
        </w:rPr>
      </w:pPr>
      <w:r w:rsidRPr="009214A2">
        <w:rPr>
          <w:color w:val="000000" w:themeColor="text1"/>
        </w:rPr>
        <w:t>Totalt under 2019 fick vi in 25.706 undersökningar och NPS landar på 45,1 vilket är en ökning jämfört med 2018 då NPS var 41,9.</w:t>
      </w:r>
      <w:r>
        <w:rPr>
          <w:color w:val="000000" w:themeColor="text1"/>
        </w:rPr>
        <w:t xml:space="preserve"> </w:t>
      </w:r>
      <w:r w:rsidRPr="009214A2">
        <w:rPr>
          <w:color w:val="000000" w:themeColor="text1"/>
        </w:rPr>
        <w:t>Vi har förbättrat vårt resultat inom alla områden jämfört med föregående år.</w:t>
      </w:r>
      <w:r>
        <w:rPr>
          <w:color w:val="000000" w:themeColor="text1"/>
        </w:rPr>
        <w:t xml:space="preserve"> </w:t>
      </w:r>
      <w:r w:rsidRPr="009214A2">
        <w:rPr>
          <w:color w:val="000000" w:themeColor="text1"/>
        </w:rPr>
        <w:t>Antalet transaktioner under 2019 har minskat vilket speglas av att vi har färre antal undersökningar i NPS systemet.</w:t>
      </w:r>
    </w:p>
    <w:p w14:paraId="58BEB219" w14:textId="5B3BBCB2" w:rsidR="009214A2" w:rsidRPr="009214A2" w:rsidRDefault="009214A2" w:rsidP="009214A2">
      <w:pPr>
        <w:rPr>
          <w:color w:val="000000" w:themeColor="text1"/>
        </w:rPr>
      </w:pPr>
      <w:r w:rsidRPr="009214A2">
        <w:rPr>
          <w:color w:val="000000" w:themeColor="text1"/>
        </w:rPr>
        <w:t>Detta är inget specifikt för Sverige utan många andra länder inom EMEA har samma mönster.</w:t>
      </w:r>
      <w:r>
        <w:rPr>
          <w:color w:val="000000" w:themeColor="text1"/>
        </w:rPr>
        <w:t xml:space="preserve"> </w:t>
      </w:r>
      <w:r w:rsidRPr="009214A2">
        <w:rPr>
          <w:color w:val="000000" w:themeColor="text1"/>
        </w:rPr>
        <w:t xml:space="preserve">Under 2019 fastställdes inget konkret NPS värde som mål, utan istället har alla arbetat med ständiga förbättringar. </w:t>
      </w:r>
    </w:p>
    <w:p w14:paraId="2F0485B7" w14:textId="55EFF216" w:rsidR="009214A2" w:rsidRPr="009214A2" w:rsidRDefault="009214A2" w:rsidP="009214A2">
      <w:pPr>
        <w:rPr>
          <w:color w:val="000000" w:themeColor="text1"/>
        </w:rPr>
      </w:pPr>
      <w:r w:rsidRPr="009214A2">
        <w:rPr>
          <w:color w:val="000000" w:themeColor="text1"/>
        </w:rPr>
        <w:t>Inom FRAC påbörjades arbetet med Hertz 2.0 under 2019 som ska bidra till ökad lönsamhet, mer engagerade medarbetare och nöjdare kunder.</w:t>
      </w:r>
      <w:r>
        <w:rPr>
          <w:color w:val="000000" w:themeColor="text1"/>
        </w:rPr>
        <w:t xml:space="preserve"> </w:t>
      </w:r>
      <w:r w:rsidRPr="009214A2">
        <w:rPr>
          <w:color w:val="000000" w:themeColor="text1"/>
        </w:rPr>
        <w:t>En del av detta kan vara en bidragande orsak till att vi haft en fin ökning inom ”Helpfulness of the Staff” där resultatet blev 60,2 jämfört med 53,7 2018.</w:t>
      </w:r>
    </w:p>
    <w:tbl>
      <w:tblPr>
        <w:tblW w:w="6992" w:type="dxa"/>
        <w:tblInd w:w="373" w:type="dxa"/>
        <w:tblCellMar>
          <w:left w:w="70" w:type="dxa"/>
          <w:right w:w="70" w:type="dxa"/>
        </w:tblCellMar>
        <w:tblLook w:val="04A0" w:firstRow="1" w:lastRow="0" w:firstColumn="1" w:lastColumn="0" w:noHBand="0" w:noVBand="1"/>
      </w:tblPr>
      <w:tblGrid>
        <w:gridCol w:w="4428"/>
        <w:gridCol w:w="641"/>
        <w:gridCol w:w="641"/>
        <w:gridCol w:w="641"/>
        <w:gridCol w:w="641"/>
      </w:tblGrid>
      <w:tr w:rsidR="00E815B8" w:rsidRPr="003745E1" w14:paraId="0AE9442F" w14:textId="3F0FCC21" w:rsidTr="00E815B8">
        <w:trPr>
          <w:trHeight w:val="269"/>
        </w:trPr>
        <w:tc>
          <w:tcPr>
            <w:tcW w:w="44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D769BB5" w14:textId="77777777" w:rsidR="00E815B8" w:rsidRPr="003745E1" w:rsidRDefault="00E815B8" w:rsidP="003D400A">
            <w:pPr>
              <w:spacing w:after="0" w:line="240" w:lineRule="auto"/>
              <w:rPr>
                <w:rFonts w:eastAsia="Times New Roman" w:cs="Arial"/>
                <w:b/>
                <w:bCs/>
                <w:sz w:val="20"/>
                <w:szCs w:val="20"/>
                <w:lang w:eastAsia="sv-SE"/>
              </w:rPr>
            </w:pPr>
            <w:r w:rsidRPr="003745E1">
              <w:rPr>
                <w:rFonts w:eastAsia="Times New Roman" w:cs="Arial"/>
                <w:b/>
                <w:bCs/>
                <w:sz w:val="20"/>
                <w:szCs w:val="20"/>
                <w:lang w:eastAsia="sv-SE"/>
              </w:rPr>
              <w:t>Genomsnittlig personalstyrka, heltidsekvivalenter Hertz</w:t>
            </w:r>
          </w:p>
        </w:tc>
        <w:tc>
          <w:tcPr>
            <w:tcW w:w="641" w:type="dxa"/>
            <w:tcBorders>
              <w:top w:val="single" w:sz="4" w:space="0" w:color="auto"/>
              <w:left w:val="nil"/>
              <w:bottom w:val="single" w:sz="4" w:space="0" w:color="auto"/>
              <w:right w:val="single" w:sz="4" w:space="0" w:color="auto"/>
            </w:tcBorders>
            <w:shd w:val="clear" w:color="000000" w:fill="FFFF00"/>
            <w:noWrap/>
            <w:vAlign w:val="center"/>
          </w:tcPr>
          <w:p w14:paraId="569B4554" w14:textId="43457179" w:rsidR="00E815B8" w:rsidRPr="003745E1" w:rsidRDefault="009214A2" w:rsidP="0093502F">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2016</w:t>
            </w:r>
          </w:p>
        </w:tc>
        <w:tc>
          <w:tcPr>
            <w:tcW w:w="641" w:type="dxa"/>
            <w:tcBorders>
              <w:top w:val="single" w:sz="4" w:space="0" w:color="auto"/>
              <w:left w:val="nil"/>
              <w:bottom w:val="single" w:sz="4" w:space="0" w:color="auto"/>
              <w:right w:val="single" w:sz="4" w:space="0" w:color="auto"/>
            </w:tcBorders>
            <w:shd w:val="clear" w:color="000000" w:fill="FFFF00"/>
            <w:vAlign w:val="center"/>
          </w:tcPr>
          <w:p w14:paraId="1DBF8015" w14:textId="7273795C" w:rsidR="00E815B8" w:rsidRPr="003745E1" w:rsidRDefault="009214A2" w:rsidP="00E119F9">
            <w:pPr>
              <w:spacing w:after="0" w:line="240" w:lineRule="auto"/>
              <w:rPr>
                <w:rFonts w:eastAsia="Times New Roman" w:cs="Arial"/>
                <w:b/>
                <w:bCs/>
                <w:sz w:val="20"/>
                <w:szCs w:val="20"/>
                <w:lang w:eastAsia="sv-SE"/>
              </w:rPr>
            </w:pPr>
            <w:r>
              <w:rPr>
                <w:rFonts w:eastAsia="Times New Roman" w:cs="Arial"/>
                <w:b/>
                <w:bCs/>
                <w:sz w:val="20"/>
                <w:szCs w:val="20"/>
                <w:lang w:eastAsia="sv-SE"/>
              </w:rPr>
              <w:t>2017</w:t>
            </w:r>
          </w:p>
        </w:tc>
        <w:tc>
          <w:tcPr>
            <w:tcW w:w="641" w:type="dxa"/>
            <w:tcBorders>
              <w:top w:val="single" w:sz="4" w:space="0" w:color="auto"/>
              <w:left w:val="nil"/>
              <w:bottom w:val="single" w:sz="4" w:space="0" w:color="auto"/>
              <w:right w:val="single" w:sz="4" w:space="0" w:color="auto"/>
            </w:tcBorders>
            <w:shd w:val="clear" w:color="000000" w:fill="FFFF00"/>
            <w:vAlign w:val="center"/>
          </w:tcPr>
          <w:p w14:paraId="56A173EE" w14:textId="4D7EE24B" w:rsidR="00E815B8" w:rsidRPr="003745E1" w:rsidRDefault="009214A2" w:rsidP="00E119F9">
            <w:pPr>
              <w:spacing w:after="0" w:line="240" w:lineRule="auto"/>
              <w:rPr>
                <w:rFonts w:eastAsia="Times New Roman" w:cs="Arial"/>
                <w:b/>
                <w:bCs/>
                <w:sz w:val="20"/>
                <w:szCs w:val="20"/>
                <w:lang w:eastAsia="sv-SE"/>
              </w:rPr>
            </w:pPr>
            <w:r>
              <w:rPr>
                <w:rFonts w:eastAsia="Times New Roman" w:cs="Arial"/>
                <w:b/>
                <w:bCs/>
                <w:sz w:val="20"/>
                <w:szCs w:val="20"/>
                <w:lang w:eastAsia="sv-SE"/>
              </w:rPr>
              <w:t>2018</w:t>
            </w:r>
          </w:p>
        </w:tc>
        <w:tc>
          <w:tcPr>
            <w:tcW w:w="641" w:type="dxa"/>
            <w:tcBorders>
              <w:top w:val="single" w:sz="4" w:space="0" w:color="auto"/>
              <w:left w:val="nil"/>
              <w:bottom w:val="single" w:sz="4" w:space="0" w:color="auto"/>
              <w:right w:val="single" w:sz="4" w:space="0" w:color="auto"/>
            </w:tcBorders>
            <w:shd w:val="clear" w:color="000000" w:fill="FFFF00"/>
            <w:vAlign w:val="center"/>
          </w:tcPr>
          <w:p w14:paraId="5C16F503" w14:textId="2B4378B0" w:rsidR="00E815B8" w:rsidRPr="003745E1" w:rsidRDefault="009214A2" w:rsidP="00E119F9">
            <w:pPr>
              <w:spacing w:after="0" w:line="240" w:lineRule="auto"/>
              <w:rPr>
                <w:rFonts w:eastAsia="Times New Roman" w:cs="Arial"/>
                <w:b/>
                <w:bCs/>
                <w:sz w:val="20"/>
                <w:szCs w:val="20"/>
                <w:lang w:eastAsia="sv-SE"/>
              </w:rPr>
            </w:pPr>
            <w:r>
              <w:rPr>
                <w:rFonts w:eastAsia="Times New Roman" w:cs="Arial"/>
                <w:b/>
                <w:bCs/>
                <w:sz w:val="20"/>
                <w:szCs w:val="20"/>
                <w:lang w:eastAsia="sv-SE"/>
              </w:rPr>
              <w:t>2019</w:t>
            </w:r>
          </w:p>
        </w:tc>
      </w:tr>
      <w:tr w:rsidR="009A1B16" w:rsidRPr="003745E1" w14:paraId="5DFEF207" w14:textId="77C26AEC" w:rsidTr="002505ED">
        <w:trPr>
          <w:trHeight w:val="269"/>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31E986EE"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Tillsvidareanställda (totalt antal)</w:t>
            </w:r>
          </w:p>
        </w:tc>
        <w:tc>
          <w:tcPr>
            <w:tcW w:w="641" w:type="dxa"/>
            <w:tcBorders>
              <w:top w:val="nil"/>
              <w:left w:val="nil"/>
              <w:bottom w:val="single" w:sz="4" w:space="0" w:color="auto"/>
              <w:right w:val="single" w:sz="4" w:space="0" w:color="auto"/>
            </w:tcBorders>
            <w:shd w:val="clear" w:color="auto" w:fill="auto"/>
            <w:noWrap/>
          </w:tcPr>
          <w:p w14:paraId="3886D782" w14:textId="1252C7C9"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221</w:t>
            </w:r>
          </w:p>
        </w:tc>
        <w:tc>
          <w:tcPr>
            <w:tcW w:w="641" w:type="dxa"/>
            <w:tcBorders>
              <w:top w:val="nil"/>
              <w:left w:val="nil"/>
              <w:bottom w:val="single" w:sz="4" w:space="0" w:color="auto"/>
              <w:right w:val="single" w:sz="4" w:space="0" w:color="auto"/>
            </w:tcBorders>
          </w:tcPr>
          <w:p w14:paraId="2806632E" w14:textId="47402C34" w:rsidR="009A1B16" w:rsidRPr="003745E1" w:rsidRDefault="009A1B16" w:rsidP="009A1B16">
            <w:pPr>
              <w:spacing w:after="0" w:line="240" w:lineRule="auto"/>
              <w:jc w:val="center"/>
              <w:rPr>
                <w:rFonts w:eastAsia="Times New Roman" w:cs="Arial"/>
                <w:sz w:val="20"/>
                <w:szCs w:val="20"/>
                <w:lang w:eastAsia="sv-SE"/>
              </w:rPr>
            </w:pPr>
            <w:r w:rsidRPr="003745E1">
              <w:rPr>
                <w:rFonts w:eastAsia="Times New Roman" w:cs="Arial"/>
                <w:sz w:val="20"/>
                <w:szCs w:val="20"/>
                <w:lang w:eastAsia="sv-SE"/>
              </w:rPr>
              <w:t>221,9</w:t>
            </w:r>
          </w:p>
        </w:tc>
        <w:tc>
          <w:tcPr>
            <w:tcW w:w="641" w:type="dxa"/>
            <w:tcBorders>
              <w:top w:val="nil"/>
              <w:left w:val="nil"/>
              <w:bottom w:val="single" w:sz="4" w:space="0" w:color="auto"/>
              <w:right w:val="single" w:sz="4" w:space="0" w:color="auto"/>
            </w:tcBorders>
            <w:vAlign w:val="bottom"/>
          </w:tcPr>
          <w:p w14:paraId="1817A418" w14:textId="73EC4907" w:rsidR="009A1B16" w:rsidRPr="003745E1" w:rsidRDefault="009A1B16" w:rsidP="009A1B16">
            <w:pPr>
              <w:spacing w:after="0" w:line="240" w:lineRule="auto"/>
              <w:jc w:val="center"/>
              <w:rPr>
                <w:rFonts w:eastAsia="Times New Roman" w:cs="Arial"/>
                <w:sz w:val="20"/>
                <w:szCs w:val="20"/>
                <w:lang w:eastAsia="sv-SE"/>
              </w:rPr>
            </w:pPr>
            <w:r w:rsidRPr="003745E1">
              <w:rPr>
                <w:rFonts w:eastAsia="Times New Roman" w:cs="Arial"/>
                <w:sz w:val="20"/>
                <w:szCs w:val="20"/>
                <w:lang w:eastAsia="sv-SE"/>
              </w:rPr>
              <w:t>239</w:t>
            </w:r>
          </w:p>
        </w:tc>
        <w:tc>
          <w:tcPr>
            <w:tcW w:w="641" w:type="dxa"/>
            <w:tcBorders>
              <w:top w:val="nil"/>
              <w:left w:val="nil"/>
              <w:bottom w:val="single" w:sz="4" w:space="0" w:color="auto"/>
              <w:right w:val="single" w:sz="4" w:space="0" w:color="auto"/>
            </w:tcBorders>
            <w:vAlign w:val="bottom"/>
          </w:tcPr>
          <w:p w14:paraId="788CE315" w14:textId="2559B927" w:rsidR="009A1B16" w:rsidRPr="003745E1" w:rsidRDefault="009A1B16" w:rsidP="009A1B16">
            <w:pPr>
              <w:spacing w:after="0" w:line="240" w:lineRule="auto"/>
              <w:jc w:val="center"/>
              <w:rPr>
                <w:rFonts w:eastAsia="Times New Roman" w:cs="Arial"/>
                <w:sz w:val="20"/>
                <w:szCs w:val="20"/>
                <w:lang w:eastAsia="sv-SE"/>
              </w:rPr>
            </w:pPr>
            <w:r>
              <w:rPr>
                <w:sz w:val="20"/>
                <w:szCs w:val="20"/>
                <w:lang w:eastAsia="sv-SE"/>
              </w:rPr>
              <w:t> 253</w:t>
            </w:r>
          </w:p>
        </w:tc>
      </w:tr>
      <w:tr w:rsidR="009A1B16" w:rsidRPr="003745E1" w14:paraId="08E12D1A" w14:textId="4FF08680" w:rsidTr="002505ED">
        <w:trPr>
          <w:trHeight w:val="269"/>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1897D10F"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Timanställda</w:t>
            </w:r>
          </w:p>
        </w:tc>
        <w:tc>
          <w:tcPr>
            <w:tcW w:w="641" w:type="dxa"/>
            <w:tcBorders>
              <w:top w:val="nil"/>
              <w:left w:val="nil"/>
              <w:bottom w:val="single" w:sz="4" w:space="0" w:color="auto"/>
              <w:right w:val="single" w:sz="4" w:space="0" w:color="auto"/>
            </w:tcBorders>
            <w:shd w:val="clear" w:color="auto" w:fill="auto"/>
            <w:noWrap/>
          </w:tcPr>
          <w:p w14:paraId="6265AF56" w14:textId="0CC71734"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30</w:t>
            </w:r>
          </w:p>
        </w:tc>
        <w:tc>
          <w:tcPr>
            <w:tcW w:w="641" w:type="dxa"/>
            <w:tcBorders>
              <w:top w:val="nil"/>
              <w:left w:val="nil"/>
              <w:bottom w:val="single" w:sz="4" w:space="0" w:color="auto"/>
              <w:right w:val="single" w:sz="4" w:space="0" w:color="auto"/>
            </w:tcBorders>
          </w:tcPr>
          <w:p w14:paraId="72046F19" w14:textId="03EC9C17" w:rsidR="009A1B16" w:rsidRPr="003745E1" w:rsidRDefault="009A1B16" w:rsidP="009A1B16">
            <w:pPr>
              <w:spacing w:after="0" w:line="240" w:lineRule="auto"/>
              <w:jc w:val="center"/>
              <w:rPr>
                <w:rFonts w:eastAsia="Times New Roman" w:cs="Arial"/>
                <w:sz w:val="20"/>
                <w:szCs w:val="20"/>
                <w:lang w:eastAsia="sv-SE"/>
              </w:rPr>
            </w:pPr>
            <w:r w:rsidRPr="003745E1">
              <w:rPr>
                <w:rFonts w:eastAsia="Times New Roman" w:cs="Arial"/>
                <w:sz w:val="20"/>
                <w:szCs w:val="20"/>
                <w:lang w:eastAsia="sv-SE"/>
              </w:rPr>
              <w:t>35,1</w:t>
            </w:r>
          </w:p>
        </w:tc>
        <w:tc>
          <w:tcPr>
            <w:tcW w:w="641" w:type="dxa"/>
            <w:tcBorders>
              <w:top w:val="nil"/>
              <w:left w:val="nil"/>
              <w:bottom w:val="single" w:sz="4" w:space="0" w:color="auto"/>
              <w:right w:val="single" w:sz="4" w:space="0" w:color="auto"/>
            </w:tcBorders>
            <w:vAlign w:val="bottom"/>
          </w:tcPr>
          <w:p w14:paraId="2F2711C3" w14:textId="4ABA86F5" w:rsidR="009A1B16" w:rsidRPr="003745E1" w:rsidRDefault="009A1B16" w:rsidP="009A1B16">
            <w:pPr>
              <w:spacing w:after="0" w:line="240" w:lineRule="auto"/>
              <w:jc w:val="center"/>
              <w:rPr>
                <w:rFonts w:eastAsia="Times New Roman" w:cs="Arial"/>
                <w:sz w:val="20"/>
                <w:szCs w:val="20"/>
                <w:lang w:eastAsia="sv-SE"/>
              </w:rPr>
            </w:pPr>
            <w:r w:rsidRPr="003745E1">
              <w:rPr>
                <w:rFonts w:eastAsia="Times New Roman" w:cs="Arial"/>
                <w:sz w:val="20"/>
                <w:szCs w:val="20"/>
                <w:lang w:eastAsia="sv-SE"/>
              </w:rPr>
              <w:t>42,8</w:t>
            </w:r>
          </w:p>
        </w:tc>
        <w:tc>
          <w:tcPr>
            <w:tcW w:w="641" w:type="dxa"/>
            <w:tcBorders>
              <w:top w:val="nil"/>
              <w:left w:val="nil"/>
              <w:bottom w:val="single" w:sz="4" w:space="0" w:color="auto"/>
              <w:right w:val="single" w:sz="4" w:space="0" w:color="auto"/>
            </w:tcBorders>
            <w:vAlign w:val="bottom"/>
          </w:tcPr>
          <w:p w14:paraId="5964CFAA" w14:textId="7E20D578" w:rsidR="009A1B16" w:rsidRPr="003745E1" w:rsidRDefault="009A1B16" w:rsidP="009A1B16">
            <w:pPr>
              <w:spacing w:after="0" w:line="240" w:lineRule="auto"/>
              <w:jc w:val="center"/>
              <w:rPr>
                <w:rFonts w:eastAsia="Times New Roman" w:cs="Arial"/>
                <w:sz w:val="20"/>
                <w:szCs w:val="20"/>
                <w:lang w:eastAsia="sv-SE"/>
              </w:rPr>
            </w:pPr>
            <w:r>
              <w:rPr>
                <w:sz w:val="20"/>
                <w:szCs w:val="20"/>
                <w:lang w:eastAsia="sv-SE"/>
              </w:rPr>
              <w:t> 55</w:t>
            </w:r>
          </w:p>
        </w:tc>
      </w:tr>
      <w:tr w:rsidR="009A1B16" w:rsidRPr="003745E1" w14:paraId="0327FDA5" w14:textId="0B7F8D92" w:rsidTr="002505ED">
        <w:trPr>
          <w:trHeight w:val="269"/>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418BE7F5"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Inhyrd personal</w:t>
            </w:r>
          </w:p>
        </w:tc>
        <w:tc>
          <w:tcPr>
            <w:tcW w:w="641" w:type="dxa"/>
            <w:tcBorders>
              <w:top w:val="nil"/>
              <w:left w:val="nil"/>
              <w:bottom w:val="single" w:sz="4" w:space="0" w:color="auto"/>
              <w:right w:val="single" w:sz="4" w:space="0" w:color="auto"/>
            </w:tcBorders>
            <w:shd w:val="clear" w:color="auto" w:fill="auto"/>
            <w:noWrap/>
          </w:tcPr>
          <w:p w14:paraId="31C7AA3E" w14:textId="4CD1EDAC"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14,2</w:t>
            </w:r>
          </w:p>
        </w:tc>
        <w:tc>
          <w:tcPr>
            <w:tcW w:w="641" w:type="dxa"/>
            <w:tcBorders>
              <w:top w:val="nil"/>
              <w:left w:val="nil"/>
              <w:bottom w:val="single" w:sz="4" w:space="0" w:color="auto"/>
              <w:right w:val="single" w:sz="4" w:space="0" w:color="auto"/>
            </w:tcBorders>
          </w:tcPr>
          <w:p w14:paraId="53DAE05E" w14:textId="272CBFA0" w:rsidR="009A1B16" w:rsidRPr="003745E1" w:rsidRDefault="009A1B16" w:rsidP="009A1B16">
            <w:pPr>
              <w:spacing w:after="0" w:line="240" w:lineRule="auto"/>
              <w:jc w:val="center"/>
              <w:rPr>
                <w:rFonts w:eastAsia="Times New Roman" w:cs="Arial"/>
                <w:sz w:val="20"/>
                <w:szCs w:val="20"/>
                <w:lang w:eastAsia="sv-SE"/>
              </w:rPr>
            </w:pPr>
            <w:r w:rsidRPr="003745E1">
              <w:rPr>
                <w:rFonts w:eastAsia="Times New Roman" w:cs="Arial"/>
                <w:sz w:val="20"/>
                <w:szCs w:val="20"/>
                <w:lang w:eastAsia="sv-SE"/>
              </w:rPr>
              <w:t>12,7</w:t>
            </w:r>
          </w:p>
        </w:tc>
        <w:tc>
          <w:tcPr>
            <w:tcW w:w="641" w:type="dxa"/>
            <w:tcBorders>
              <w:top w:val="nil"/>
              <w:left w:val="nil"/>
              <w:bottom w:val="single" w:sz="4" w:space="0" w:color="auto"/>
              <w:right w:val="single" w:sz="4" w:space="0" w:color="auto"/>
            </w:tcBorders>
            <w:vAlign w:val="bottom"/>
          </w:tcPr>
          <w:p w14:paraId="0EDE59CE" w14:textId="70D830C1" w:rsidR="009A1B16" w:rsidRPr="003745E1" w:rsidRDefault="009A1B16" w:rsidP="009A1B16">
            <w:pPr>
              <w:spacing w:after="0" w:line="240" w:lineRule="auto"/>
              <w:jc w:val="center"/>
              <w:rPr>
                <w:rFonts w:eastAsia="Times New Roman" w:cs="Arial"/>
                <w:sz w:val="20"/>
                <w:szCs w:val="20"/>
                <w:lang w:eastAsia="sv-SE"/>
              </w:rPr>
            </w:pPr>
            <w:r w:rsidRPr="003745E1">
              <w:rPr>
                <w:rFonts w:eastAsia="Times New Roman" w:cs="Arial"/>
                <w:sz w:val="20"/>
                <w:szCs w:val="20"/>
                <w:lang w:eastAsia="sv-SE"/>
              </w:rPr>
              <w:t>11,7</w:t>
            </w:r>
          </w:p>
        </w:tc>
        <w:tc>
          <w:tcPr>
            <w:tcW w:w="641" w:type="dxa"/>
            <w:tcBorders>
              <w:top w:val="nil"/>
              <w:left w:val="nil"/>
              <w:bottom w:val="single" w:sz="4" w:space="0" w:color="auto"/>
              <w:right w:val="single" w:sz="4" w:space="0" w:color="auto"/>
            </w:tcBorders>
            <w:vAlign w:val="bottom"/>
          </w:tcPr>
          <w:p w14:paraId="3766C13A" w14:textId="4CAA67A9" w:rsidR="009A1B16" w:rsidRPr="003745E1" w:rsidRDefault="009A1B16" w:rsidP="009A1B16">
            <w:pPr>
              <w:spacing w:after="0" w:line="240" w:lineRule="auto"/>
              <w:jc w:val="center"/>
              <w:rPr>
                <w:rFonts w:eastAsia="Times New Roman" w:cs="Arial"/>
                <w:sz w:val="20"/>
                <w:szCs w:val="20"/>
                <w:lang w:eastAsia="sv-SE"/>
              </w:rPr>
            </w:pPr>
            <w:r>
              <w:rPr>
                <w:sz w:val="20"/>
                <w:szCs w:val="20"/>
                <w:lang w:eastAsia="sv-SE"/>
              </w:rPr>
              <w:t> 8,52</w:t>
            </w:r>
          </w:p>
        </w:tc>
      </w:tr>
      <w:tr w:rsidR="009A1B16" w:rsidRPr="003745E1" w14:paraId="37B96856" w14:textId="7C0FA7D5" w:rsidTr="002505ED">
        <w:trPr>
          <w:trHeight w:val="269"/>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303A5332"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Personalstyrka totalt</w:t>
            </w:r>
          </w:p>
        </w:tc>
        <w:tc>
          <w:tcPr>
            <w:tcW w:w="641" w:type="dxa"/>
            <w:tcBorders>
              <w:top w:val="nil"/>
              <w:left w:val="nil"/>
              <w:bottom w:val="single" w:sz="4" w:space="0" w:color="auto"/>
              <w:right w:val="single" w:sz="4" w:space="0" w:color="auto"/>
            </w:tcBorders>
            <w:shd w:val="clear" w:color="auto" w:fill="auto"/>
            <w:noWrap/>
          </w:tcPr>
          <w:p w14:paraId="0EA68345" w14:textId="2C97B9C6"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265,2</w:t>
            </w:r>
          </w:p>
        </w:tc>
        <w:tc>
          <w:tcPr>
            <w:tcW w:w="641" w:type="dxa"/>
            <w:tcBorders>
              <w:top w:val="nil"/>
              <w:left w:val="nil"/>
              <w:bottom w:val="single" w:sz="4" w:space="0" w:color="auto"/>
              <w:right w:val="single" w:sz="4" w:space="0" w:color="auto"/>
            </w:tcBorders>
          </w:tcPr>
          <w:p w14:paraId="2506B89F" w14:textId="7AC02979" w:rsidR="009A1B16" w:rsidRPr="003745E1" w:rsidRDefault="009A1B16" w:rsidP="009A1B16">
            <w:pPr>
              <w:spacing w:after="0" w:line="240" w:lineRule="auto"/>
              <w:jc w:val="center"/>
              <w:rPr>
                <w:rFonts w:eastAsia="Times New Roman" w:cs="Arial"/>
                <w:sz w:val="20"/>
                <w:szCs w:val="20"/>
                <w:lang w:eastAsia="sv-SE"/>
              </w:rPr>
            </w:pPr>
            <w:r w:rsidRPr="003745E1">
              <w:rPr>
                <w:rFonts w:eastAsia="Times New Roman" w:cs="Arial"/>
                <w:sz w:val="20"/>
                <w:szCs w:val="20"/>
                <w:lang w:eastAsia="sv-SE"/>
              </w:rPr>
              <w:t>269,8</w:t>
            </w:r>
          </w:p>
        </w:tc>
        <w:tc>
          <w:tcPr>
            <w:tcW w:w="641" w:type="dxa"/>
            <w:tcBorders>
              <w:top w:val="nil"/>
              <w:left w:val="nil"/>
              <w:bottom w:val="single" w:sz="4" w:space="0" w:color="auto"/>
              <w:right w:val="single" w:sz="4" w:space="0" w:color="auto"/>
            </w:tcBorders>
            <w:vAlign w:val="bottom"/>
          </w:tcPr>
          <w:p w14:paraId="0DE57B57" w14:textId="30D34E75" w:rsidR="009A1B16" w:rsidRPr="003745E1" w:rsidRDefault="009A1B16" w:rsidP="009A1B16">
            <w:pPr>
              <w:spacing w:after="0" w:line="240" w:lineRule="auto"/>
              <w:jc w:val="center"/>
              <w:rPr>
                <w:rFonts w:eastAsia="Times New Roman" w:cs="Arial"/>
                <w:sz w:val="20"/>
                <w:szCs w:val="20"/>
                <w:lang w:eastAsia="sv-SE"/>
              </w:rPr>
            </w:pPr>
            <w:r w:rsidRPr="003745E1">
              <w:rPr>
                <w:rFonts w:eastAsia="Times New Roman" w:cs="Arial"/>
                <w:sz w:val="20"/>
                <w:szCs w:val="20"/>
                <w:lang w:eastAsia="sv-SE"/>
              </w:rPr>
              <w:t>293,5</w:t>
            </w:r>
          </w:p>
        </w:tc>
        <w:tc>
          <w:tcPr>
            <w:tcW w:w="641" w:type="dxa"/>
            <w:tcBorders>
              <w:top w:val="nil"/>
              <w:left w:val="nil"/>
              <w:bottom w:val="single" w:sz="4" w:space="0" w:color="auto"/>
              <w:right w:val="single" w:sz="4" w:space="0" w:color="auto"/>
            </w:tcBorders>
            <w:vAlign w:val="bottom"/>
          </w:tcPr>
          <w:p w14:paraId="7FA68771" w14:textId="40579D07" w:rsidR="009A1B16" w:rsidRPr="003745E1" w:rsidRDefault="009A1B16" w:rsidP="009A1B16">
            <w:pPr>
              <w:spacing w:after="0" w:line="240" w:lineRule="auto"/>
              <w:jc w:val="center"/>
              <w:rPr>
                <w:rFonts w:eastAsia="Times New Roman" w:cs="Arial"/>
                <w:sz w:val="20"/>
                <w:szCs w:val="20"/>
                <w:lang w:eastAsia="sv-SE"/>
              </w:rPr>
            </w:pPr>
            <w:r>
              <w:rPr>
                <w:sz w:val="20"/>
                <w:szCs w:val="20"/>
                <w:lang w:eastAsia="sv-SE"/>
              </w:rPr>
              <w:t>317 </w:t>
            </w:r>
          </w:p>
        </w:tc>
      </w:tr>
    </w:tbl>
    <w:p w14:paraId="5EE479C4" w14:textId="77777777" w:rsidR="009175AC" w:rsidRPr="003745E1" w:rsidRDefault="009175AC" w:rsidP="00C60B59">
      <w:pPr>
        <w:spacing w:after="0"/>
        <w:ind w:left="357"/>
        <w:rPr>
          <w:color w:val="000000" w:themeColor="text1"/>
        </w:rPr>
      </w:pPr>
    </w:p>
    <w:p w14:paraId="5442E7AF" w14:textId="77777777" w:rsidR="001C0200" w:rsidRPr="000D59CC" w:rsidRDefault="001C0200" w:rsidP="00687F56">
      <w:pPr>
        <w:spacing w:after="0"/>
        <w:rPr>
          <w:color w:val="000000" w:themeColor="text1"/>
          <w:highlight w:val="yellow"/>
        </w:rPr>
      </w:pPr>
    </w:p>
    <w:tbl>
      <w:tblPr>
        <w:tblW w:w="6612" w:type="dxa"/>
        <w:tblInd w:w="345" w:type="dxa"/>
        <w:tblCellMar>
          <w:left w:w="70" w:type="dxa"/>
          <w:right w:w="70" w:type="dxa"/>
        </w:tblCellMar>
        <w:tblLook w:val="04A0" w:firstRow="1" w:lastRow="0" w:firstColumn="1" w:lastColumn="0" w:noHBand="0" w:noVBand="1"/>
      </w:tblPr>
      <w:tblGrid>
        <w:gridCol w:w="4428"/>
        <w:gridCol w:w="546"/>
        <w:gridCol w:w="546"/>
        <w:gridCol w:w="546"/>
        <w:gridCol w:w="546"/>
      </w:tblGrid>
      <w:tr w:rsidR="003745E1" w:rsidRPr="003745E1" w14:paraId="4AEE9295" w14:textId="77777777" w:rsidTr="00E815B8">
        <w:trPr>
          <w:trHeight w:val="269"/>
        </w:trPr>
        <w:tc>
          <w:tcPr>
            <w:tcW w:w="4428"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5BEF473" w14:textId="77777777" w:rsidR="003745E1" w:rsidRPr="003745E1" w:rsidRDefault="003745E1" w:rsidP="003745E1">
            <w:pPr>
              <w:spacing w:after="0" w:line="240" w:lineRule="auto"/>
              <w:rPr>
                <w:rFonts w:eastAsia="Times New Roman" w:cs="Arial"/>
                <w:b/>
                <w:bCs/>
                <w:sz w:val="20"/>
                <w:szCs w:val="20"/>
                <w:lang w:eastAsia="sv-SE"/>
              </w:rPr>
            </w:pPr>
            <w:r w:rsidRPr="003745E1">
              <w:rPr>
                <w:rFonts w:eastAsia="Times New Roman" w:cs="Arial"/>
                <w:b/>
                <w:bCs/>
                <w:sz w:val="20"/>
                <w:szCs w:val="20"/>
                <w:lang w:eastAsia="sv-SE"/>
              </w:rPr>
              <w:t>Genomsnittlig personalstyrka, heltidsekvivalenter</w:t>
            </w:r>
          </w:p>
          <w:p w14:paraId="29B4AB62" w14:textId="77777777" w:rsidR="003745E1" w:rsidRPr="003745E1" w:rsidRDefault="003745E1" w:rsidP="003745E1">
            <w:pPr>
              <w:spacing w:after="0" w:line="240" w:lineRule="auto"/>
              <w:rPr>
                <w:rFonts w:eastAsia="Times New Roman" w:cs="Arial"/>
                <w:b/>
                <w:bCs/>
                <w:sz w:val="20"/>
                <w:szCs w:val="20"/>
                <w:lang w:eastAsia="sv-SE"/>
              </w:rPr>
            </w:pPr>
            <w:r w:rsidRPr="003745E1">
              <w:rPr>
                <w:rFonts w:eastAsia="Times New Roman" w:cs="Arial"/>
                <w:b/>
                <w:bCs/>
                <w:sz w:val="20"/>
                <w:szCs w:val="20"/>
                <w:lang w:eastAsia="sv-SE"/>
              </w:rPr>
              <w:t>Bilreda</w:t>
            </w:r>
          </w:p>
        </w:tc>
        <w:tc>
          <w:tcPr>
            <w:tcW w:w="546" w:type="dxa"/>
            <w:tcBorders>
              <w:top w:val="single" w:sz="4" w:space="0" w:color="auto"/>
              <w:left w:val="nil"/>
              <w:bottom w:val="single" w:sz="4" w:space="0" w:color="auto"/>
              <w:right w:val="single" w:sz="4" w:space="0" w:color="auto"/>
            </w:tcBorders>
            <w:shd w:val="clear" w:color="000000" w:fill="0070C0"/>
            <w:noWrap/>
            <w:vAlign w:val="center"/>
          </w:tcPr>
          <w:p w14:paraId="131F8CA5" w14:textId="38ACD7E7" w:rsidR="003745E1" w:rsidRPr="003745E1" w:rsidRDefault="009214A2" w:rsidP="003745E1">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2016</w:t>
            </w:r>
          </w:p>
        </w:tc>
        <w:tc>
          <w:tcPr>
            <w:tcW w:w="546" w:type="dxa"/>
            <w:tcBorders>
              <w:top w:val="single" w:sz="4" w:space="0" w:color="auto"/>
              <w:left w:val="nil"/>
              <w:bottom w:val="single" w:sz="4" w:space="0" w:color="auto"/>
              <w:right w:val="single" w:sz="4" w:space="0" w:color="auto"/>
            </w:tcBorders>
            <w:shd w:val="clear" w:color="000000" w:fill="0070C0"/>
            <w:vAlign w:val="center"/>
          </w:tcPr>
          <w:p w14:paraId="3C6358B4" w14:textId="06BEF97A" w:rsidR="003745E1" w:rsidRPr="003745E1" w:rsidRDefault="009214A2" w:rsidP="003745E1">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2017</w:t>
            </w:r>
          </w:p>
        </w:tc>
        <w:tc>
          <w:tcPr>
            <w:tcW w:w="546" w:type="dxa"/>
            <w:tcBorders>
              <w:top w:val="single" w:sz="4" w:space="0" w:color="auto"/>
              <w:left w:val="nil"/>
              <w:bottom w:val="single" w:sz="4" w:space="0" w:color="auto"/>
              <w:right w:val="single" w:sz="4" w:space="0" w:color="auto"/>
            </w:tcBorders>
            <w:shd w:val="clear" w:color="000000" w:fill="0070C0"/>
            <w:vAlign w:val="center"/>
          </w:tcPr>
          <w:p w14:paraId="733D8B40" w14:textId="1F4FB577" w:rsidR="003745E1" w:rsidRPr="003745E1" w:rsidRDefault="009214A2" w:rsidP="003745E1">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2018</w:t>
            </w:r>
          </w:p>
        </w:tc>
        <w:tc>
          <w:tcPr>
            <w:tcW w:w="546" w:type="dxa"/>
            <w:tcBorders>
              <w:top w:val="single" w:sz="4" w:space="0" w:color="auto"/>
              <w:left w:val="single" w:sz="4" w:space="0" w:color="auto"/>
              <w:bottom w:val="single" w:sz="4" w:space="0" w:color="auto"/>
              <w:right w:val="single" w:sz="4" w:space="0" w:color="auto"/>
            </w:tcBorders>
            <w:shd w:val="clear" w:color="000000" w:fill="0070C0"/>
            <w:vAlign w:val="center"/>
          </w:tcPr>
          <w:p w14:paraId="4A4EC529" w14:textId="78DBBCF2" w:rsidR="003745E1" w:rsidRPr="003745E1" w:rsidRDefault="009214A2" w:rsidP="003745E1">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2019</w:t>
            </w:r>
          </w:p>
        </w:tc>
      </w:tr>
      <w:tr w:rsidR="009A1B16" w:rsidRPr="003745E1" w14:paraId="1ABB0493" w14:textId="77777777" w:rsidTr="002505ED">
        <w:trPr>
          <w:trHeight w:val="269"/>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3D7A2C0E"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Tillsvidareanställda (totalt antal)</w:t>
            </w:r>
          </w:p>
        </w:tc>
        <w:tc>
          <w:tcPr>
            <w:tcW w:w="546" w:type="dxa"/>
            <w:tcBorders>
              <w:top w:val="nil"/>
              <w:left w:val="nil"/>
              <w:bottom w:val="single" w:sz="4" w:space="0" w:color="auto"/>
              <w:right w:val="single" w:sz="4" w:space="0" w:color="auto"/>
            </w:tcBorders>
            <w:shd w:val="clear" w:color="auto" w:fill="auto"/>
            <w:noWrap/>
          </w:tcPr>
          <w:p w14:paraId="12F8EB55" w14:textId="346D9004"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19</w:t>
            </w:r>
          </w:p>
        </w:tc>
        <w:tc>
          <w:tcPr>
            <w:tcW w:w="546" w:type="dxa"/>
            <w:tcBorders>
              <w:top w:val="nil"/>
              <w:left w:val="nil"/>
              <w:bottom w:val="single" w:sz="4" w:space="0" w:color="auto"/>
              <w:right w:val="single" w:sz="4" w:space="0" w:color="auto"/>
            </w:tcBorders>
          </w:tcPr>
          <w:p w14:paraId="7268D1F9" w14:textId="6FDB3839"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18</w:t>
            </w:r>
          </w:p>
        </w:tc>
        <w:tc>
          <w:tcPr>
            <w:tcW w:w="546" w:type="dxa"/>
            <w:tcBorders>
              <w:top w:val="single" w:sz="4" w:space="0" w:color="auto"/>
              <w:left w:val="nil"/>
              <w:bottom w:val="single" w:sz="4" w:space="0" w:color="auto"/>
              <w:right w:val="single" w:sz="4" w:space="0" w:color="auto"/>
            </w:tcBorders>
          </w:tcPr>
          <w:p w14:paraId="6A107018" w14:textId="31488FF5"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18,2</w:t>
            </w:r>
          </w:p>
        </w:tc>
        <w:tc>
          <w:tcPr>
            <w:tcW w:w="546" w:type="dxa"/>
            <w:tcBorders>
              <w:top w:val="single" w:sz="4" w:space="0" w:color="auto"/>
              <w:left w:val="single" w:sz="4" w:space="0" w:color="auto"/>
              <w:bottom w:val="single" w:sz="4" w:space="0" w:color="auto"/>
              <w:right w:val="single" w:sz="4" w:space="0" w:color="auto"/>
            </w:tcBorders>
          </w:tcPr>
          <w:p w14:paraId="3A4C4334" w14:textId="450A0C68" w:rsidR="009A1B16" w:rsidRPr="009A1B16" w:rsidRDefault="009A1B16" w:rsidP="009A1B16">
            <w:pPr>
              <w:spacing w:after="0"/>
              <w:jc w:val="right"/>
              <w:rPr>
                <w:rFonts w:eastAsia="Times New Roman" w:cs="Arial"/>
                <w:color w:val="000000" w:themeColor="text1"/>
                <w:sz w:val="20"/>
                <w:szCs w:val="20"/>
                <w:lang w:eastAsia="sv-SE"/>
              </w:rPr>
            </w:pPr>
            <w:r w:rsidRPr="009A1B16">
              <w:rPr>
                <w:color w:val="000000" w:themeColor="text1"/>
                <w:sz w:val="20"/>
                <w:szCs w:val="20"/>
                <w:lang w:eastAsia="sv-SE"/>
              </w:rPr>
              <w:t>17,5 </w:t>
            </w:r>
          </w:p>
        </w:tc>
      </w:tr>
      <w:tr w:rsidR="009A1B16" w:rsidRPr="003745E1" w14:paraId="60912C16" w14:textId="77777777" w:rsidTr="002505ED">
        <w:trPr>
          <w:trHeight w:val="269"/>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13AB3759"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Timanställda</w:t>
            </w:r>
          </w:p>
        </w:tc>
        <w:tc>
          <w:tcPr>
            <w:tcW w:w="546" w:type="dxa"/>
            <w:tcBorders>
              <w:top w:val="nil"/>
              <w:left w:val="nil"/>
              <w:bottom w:val="single" w:sz="4" w:space="0" w:color="auto"/>
              <w:right w:val="single" w:sz="4" w:space="0" w:color="auto"/>
            </w:tcBorders>
            <w:shd w:val="clear" w:color="auto" w:fill="auto"/>
            <w:noWrap/>
          </w:tcPr>
          <w:p w14:paraId="2A7710CC" w14:textId="6A3AACE3"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1,31</w:t>
            </w:r>
          </w:p>
        </w:tc>
        <w:tc>
          <w:tcPr>
            <w:tcW w:w="546" w:type="dxa"/>
            <w:tcBorders>
              <w:top w:val="nil"/>
              <w:left w:val="nil"/>
              <w:bottom w:val="single" w:sz="4" w:space="0" w:color="auto"/>
              <w:right w:val="single" w:sz="4" w:space="0" w:color="auto"/>
            </w:tcBorders>
          </w:tcPr>
          <w:p w14:paraId="34CC362E" w14:textId="4808C503"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1</w:t>
            </w:r>
          </w:p>
        </w:tc>
        <w:tc>
          <w:tcPr>
            <w:tcW w:w="546" w:type="dxa"/>
            <w:tcBorders>
              <w:top w:val="single" w:sz="4" w:space="0" w:color="auto"/>
              <w:left w:val="nil"/>
              <w:bottom w:val="single" w:sz="4" w:space="0" w:color="auto"/>
              <w:right w:val="single" w:sz="4" w:space="0" w:color="auto"/>
            </w:tcBorders>
          </w:tcPr>
          <w:p w14:paraId="5CD02067" w14:textId="47C77E26"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0,3</w:t>
            </w:r>
          </w:p>
        </w:tc>
        <w:tc>
          <w:tcPr>
            <w:tcW w:w="546" w:type="dxa"/>
            <w:tcBorders>
              <w:top w:val="single" w:sz="4" w:space="0" w:color="auto"/>
              <w:left w:val="single" w:sz="4" w:space="0" w:color="auto"/>
              <w:bottom w:val="single" w:sz="4" w:space="0" w:color="auto"/>
              <w:right w:val="single" w:sz="4" w:space="0" w:color="auto"/>
            </w:tcBorders>
          </w:tcPr>
          <w:p w14:paraId="194754E9" w14:textId="2D8ACE05" w:rsidR="009A1B16" w:rsidRPr="009A1B16" w:rsidRDefault="009A1B16" w:rsidP="009A1B16">
            <w:pPr>
              <w:spacing w:after="0"/>
              <w:jc w:val="right"/>
              <w:rPr>
                <w:rFonts w:eastAsia="Times New Roman" w:cs="Arial"/>
                <w:color w:val="000000" w:themeColor="text1"/>
                <w:sz w:val="20"/>
                <w:szCs w:val="20"/>
                <w:lang w:eastAsia="sv-SE"/>
              </w:rPr>
            </w:pPr>
            <w:r w:rsidRPr="009A1B16">
              <w:rPr>
                <w:color w:val="000000" w:themeColor="text1"/>
                <w:sz w:val="20"/>
                <w:szCs w:val="20"/>
                <w:lang w:eastAsia="sv-SE"/>
              </w:rPr>
              <w:t>0,2 </w:t>
            </w:r>
          </w:p>
        </w:tc>
      </w:tr>
      <w:tr w:rsidR="009A1B16" w:rsidRPr="003745E1" w14:paraId="05FA1244" w14:textId="77777777" w:rsidTr="002505ED">
        <w:trPr>
          <w:trHeight w:val="269"/>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3C551FBC"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Inhyrd personal</w:t>
            </w:r>
          </w:p>
        </w:tc>
        <w:tc>
          <w:tcPr>
            <w:tcW w:w="546" w:type="dxa"/>
            <w:tcBorders>
              <w:top w:val="nil"/>
              <w:left w:val="nil"/>
              <w:bottom w:val="single" w:sz="4" w:space="0" w:color="auto"/>
              <w:right w:val="single" w:sz="4" w:space="0" w:color="auto"/>
            </w:tcBorders>
            <w:shd w:val="clear" w:color="auto" w:fill="auto"/>
            <w:noWrap/>
          </w:tcPr>
          <w:p w14:paraId="28AF3DAC" w14:textId="68076C96"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0</w:t>
            </w:r>
          </w:p>
        </w:tc>
        <w:tc>
          <w:tcPr>
            <w:tcW w:w="546" w:type="dxa"/>
            <w:tcBorders>
              <w:top w:val="nil"/>
              <w:left w:val="nil"/>
              <w:bottom w:val="single" w:sz="4" w:space="0" w:color="auto"/>
              <w:right w:val="single" w:sz="4" w:space="0" w:color="auto"/>
            </w:tcBorders>
          </w:tcPr>
          <w:p w14:paraId="65DDC92C" w14:textId="137AE9EC"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0</w:t>
            </w:r>
          </w:p>
        </w:tc>
        <w:tc>
          <w:tcPr>
            <w:tcW w:w="546" w:type="dxa"/>
            <w:tcBorders>
              <w:top w:val="single" w:sz="4" w:space="0" w:color="auto"/>
              <w:left w:val="nil"/>
              <w:bottom w:val="single" w:sz="4" w:space="0" w:color="auto"/>
              <w:right w:val="single" w:sz="4" w:space="0" w:color="auto"/>
            </w:tcBorders>
          </w:tcPr>
          <w:p w14:paraId="0E78B7F0" w14:textId="4B3F50F8"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0</w:t>
            </w:r>
          </w:p>
        </w:tc>
        <w:tc>
          <w:tcPr>
            <w:tcW w:w="546" w:type="dxa"/>
            <w:tcBorders>
              <w:top w:val="single" w:sz="4" w:space="0" w:color="auto"/>
              <w:left w:val="single" w:sz="4" w:space="0" w:color="auto"/>
              <w:bottom w:val="single" w:sz="4" w:space="0" w:color="auto"/>
              <w:right w:val="single" w:sz="4" w:space="0" w:color="auto"/>
            </w:tcBorders>
          </w:tcPr>
          <w:p w14:paraId="087B8716" w14:textId="410E604C" w:rsidR="009A1B16" w:rsidRPr="009A1B16" w:rsidRDefault="009A1B16" w:rsidP="009A1B16">
            <w:pPr>
              <w:spacing w:after="0"/>
              <w:jc w:val="right"/>
              <w:rPr>
                <w:rFonts w:eastAsia="Times New Roman" w:cs="Arial"/>
                <w:color w:val="000000" w:themeColor="text1"/>
                <w:sz w:val="20"/>
                <w:szCs w:val="20"/>
                <w:lang w:eastAsia="sv-SE"/>
              </w:rPr>
            </w:pPr>
            <w:r w:rsidRPr="009A1B16">
              <w:rPr>
                <w:color w:val="000000" w:themeColor="text1"/>
                <w:sz w:val="20"/>
                <w:szCs w:val="20"/>
                <w:lang w:eastAsia="sv-SE"/>
              </w:rPr>
              <w:t>0 </w:t>
            </w:r>
          </w:p>
        </w:tc>
      </w:tr>
      <w:tr w:rsidR="009A1B16" w:rsidRPr="000D59CC" w14:paraId="04A2F45F" w14:textId="77777777" w:rsidTr="002505ED">
        <w:trPr>
          <w:trHeight w:val="269"/>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14:paraId="659B61D0"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Personalstyrka totalt</w:t>
            </w:r>
          </w:p>
        </w:tc>
        <w:tc>
          <w:tcPr>
            <w:tcW w:w="546" w:type="dxa"/>
            <w:tcBorders>
              <w:top w:val="nil"/>
              <w:left w:val="nil"/>
              <w:bottom w:val="single" w:sz="4" w:space="0" w:color="auto"/>
              <w:right w:val="single" w:sz="4" w:space="0" w:color="auto"/>
            </w:tcBorders>
            <w:shd w:val="clear" w:color="auto" w:fill="auto"/>
            <w:noWrap/>
          </w:tcPr>
          <w:p w14:paraId="150461B9" w14:textId="7FDD9473"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20</w:t>
            </w:r>
          </w:p>
        </w:tc>
        <w:tc>
          <w:tcPr>
            <w:tcW w:w="546" w:type="dxa"/>
            <w:tcBorders>
              <w:top w:val="nil"/>
              <w:left w:val="nil"/>
              <w:bottom w:val="single" w:sz="4" w:space="0" w:color="auto"/>
              <w:right w:val="single" w:sz="4" w:space="0" w:color="auto"/>
            </w:tcBorders>
          </w:tcPr>
          <w:p w14:paraId="6425C508" w14:textId="6D6CB070"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19</w:t>
            </w:r>
          </w:p>
        </w:tc>
        <w:tc>
          <w:tcPr>
            <w:tcW w:w="546" w:type="dxa"/>
            <w:tcBorders>
              <w:top w:val="single" w:sz="4" w:space="0" w:color="auto"/>
              <w:left w:val="nil"/>
              <w:bottom w:val="single" w:sz="4" w:space="0" w:color="auto"/>
              <w:right w:val="single" w:sz="4" w:space="0" w:color="auto"/>
            </w:tcBorders>
          </w:tcPr>
          <w:p w14:paraId="3868EE26" w14:textId="571219C7" w:rsidR="009A1B16" w:rsidRPr="003745E1" w:rsidRDefault="009A1B16" w:rsidP="009A1B16">
            <w:pPr>
              <w:spacing w:after="0"/>
              <w:jc w:val="right"/>
              <w:rPr>
                <w:rFonts w:eastAsia="Times New Roman" w:cs="Arial"/>
                <w:sz w:val="20"/>
                <w:szCs w:val="20"/>
                <w:lang w:eastAsia="sv-SE"/>
              </w:rPr>
            </w:pPr>
            <w:r w:rsidRPr="003745E1">
              <w:rPr>
                <w:rFonts w:eastAsia="Times New Roman" w:cs="Arial"/>
                <w:sz w:val="20"/>
                <w:szCs w:val="20"/>
                <w:lang w:eastAsia="sv-SE"/>
              </w:rPr>
              <w:t>18,5</w:t>
            </w:r>
          </w:p>
        </w:tc>
        <w:tc>
          <w:tcPr>
            <w:tcW w:w="546" w:type="dxa"/>
            <w:tcBorders>
              <w:top w:val="single" w:sz="4" w:space="0" w:color="auto"/>
              <w:left w:val="single" w:sz="4" w:space="0" w:color="auto"/>
              <w:bottom w:val="single" w:sz="4" w:space="0" w:color="auto"/>
              <w:right w:val="single" w:sz="4" w:space="0" w:color="auto"/>
            </w:tcBorders>
          </w:tcPr>
          <w:p w14:paraId="1804A10B" w14:textId="5F910C37" w:rsidR="009A1B16" w:rsidRPr="009A1B16" w:rsidRDefault="009A1B16" w:rsidP="009A1B16">
            <w:pPr>
              <w:spacing w:after="0"/>
              <w:jc w:val="right"/>
              <w:rPr>
                <w:rFonts w:eastAsia="Times New Roman" w:cs="Arial"/>
                <w:color w:val="000000" w:themeColor="text1"/>
                <w:sz w:val="20"/>
                <w:szCs w:val="20"/>
                <w:lang w:eastAsia="sv-SE"/>
              </w:rPr>
            </w:pPr>
            <w:r w:rsidRPr="009A1B16">
              <w:rPr>
                <w:color w:val="000000" w:themeColor="text1"/>
                <w:sz w:val="20"/>
                <w:szCs w:val="20"/>
                <w:lang w:eastAsia="sv-SE"/>
              </w:rPr>
              <w:t>18,7 </w:t>
            </w:r>
          </w:p>
        </w:tc>
      </w:tr>
    </w:tbl>
    <w:p w14:paraId="7A859E06" w14:textId="77777777" w:rsidR="008F4532" w:rsidRPr="000D59CC" w:rsidRDefault="008F4532" w:rsidP="00C60B59">
      <w:pPr>
        <w:spacing w:after="0"/>
        <w:ind w:left="357"/>
        <w:rPr>
          <w:color w:val="000000" w:themeColor="text1"/>
          <w:highlight w:val="yellow"/>
        </w:rPr>
      </w:pPr>
    </w:p>
    <w:p w14:paraId="730C5140" w14:textId="2C8C6504" w:rsidR="001F7593" w:rsidRDefault="009A1B16" w:rsidP="00270C26">
      <w:pPr>
        <w:ind w:left="360"/>
        <w:rPr>
          <w:color w:val="000000" w:themeColor="text1"/>
        </w:rPr>
      </w:pPr>
      <w:r>
        <w:t>2019 har innehållit flertalet organisationsförändringar för Hertz och personalomsättningen har ökat markant. Målet avseende Bilreda för 2019 var att personalomsättningen skulle minska från 2018 vilket den gjort.</w:t>
      </w:r>
    </w:p>
    <w:tbl>
      <w:tblPr>
        <w:tblW w:w="6834" w:type="dxa"/>
        <w:tblInd w:w="434" w:type="dxa"/>
        <w:tblCellMar>
          <w:left w:w="70" w:type="dxa"/>
          <w:right w:w="70" w:type="dxa"/>
        </w:tblCellMar>
        <w:tblLook w:val="04A0" w:firstRow="1" w:lastRow="0" w:firstColumn="1" w:lastColumn="0" w:noHBand="0" w:noVBand="1"/>
      </w:tblPr>
      <w:tblGrid>
        <w:gridCol w:w="2864"/>
        <w:gridCol w:w="683"/>
        <w:gridCol w:w="683"/>
        <w:gridCol w:w="278"/>
        <w:gridCol w:w="405"/>
        <w:gridCol w:w="278"/>
        <w:gridCol w:w="405"/>
        <w:gridCol w:w="278"/>
        <w:gridCol w:w="268"/>
        <w:gridCol w:w="692"/>
      </w:tblGrid>
      <w:tr w:rsidR="000D59CC" w:rsidRPr="000D59CC" w14:paraId="4FE5DA5A" w14:textId="77777777" w:rsidTr="000D59CC">
        <w:trPr>
          <w:trHeight w:val="300"/>
        </w:trPr>
        <w:tc>
          <w:tcPr>
            <w:tcW w:w="2864" w:type="dxa"/>
            <w:tcBorders>
              <w:top w:val="nil"/>
              <w:left w:val="nil"/>
              <w:bottom w:val="nil"/>
              <w:right w:val="nil"/>
            </w:tcBorders>
            <w:shd w:val="clear" w:color="auto" w:fill="auto"/>
            <w:noWrap/>
            <w:vAlign w:val="bottom"/>
            <w:hideMark/>
          </w:tcPr>
          <w:p w14:paraId="3A95F4DE" w14:textId="77777777" w:rsidR="000D59CC" w:rsidRPr="003745E1" w:rsidRDefault="000D59CC" w:rsidP="0093502F">
            <w:pPr>
              <w:spacing w:after="0" w:line="240" w:lineRule="auto"/>
              <w:ind w:left="-78"/>
              <w:rPr>
                <w:rFonts w:eastAsia="Times New Roman" w:cs="Arial"/>
                <w:b/>
                <w:bCs/>
                <w:sz w:val="20"/>
                <w:szCs w:val="20"/>
                <w:lang w:eastAsia="sv-SE"/>
              </w:rPr>
            </w:pPr>
            <w:r w:rsidRPr="003745E1">
              <w:rPr>
                <w:rFonts w:eastAsia="Times New Roman" w:cs="Arial"/>
                <w:b/>
                <w:bCs/>
                <w:sz w:val="20"/>
                <w:szCs w:val="20"/>
                <w:lang w:eastAsia="sv-SE"/>
              </w:rPr>
              <w:t>Personalomsättning Hertz</w:t>
            </w:r>
          </w:p>
        </w:tc>
        <w:tc>
          <w:tcPr>
            <w:tcW w:w="683" w:type="dxa"/>
            <w:tcBorders>
              <w:top w:val="nil"/>
              <w:left w:val="nil"/>
              <w:bottom w:val="nil"/>
              <w:right w:val="nil"/>
            </w:tcBorders>
          </w:tcPr>
          <w:p w14:paraId="25DFC2CA" w14:textId="77777777" w:rsidR="000D59CC" w:rsidRPr="003745E1" w:rsidRDefault="000D59CC" w:rsidP="001F7593">
            <w:pPr>
              <w:spacing w:after="0" w:line="240" w:lineRule="auto"/>
              <w:rPr>
                <w:rFonts w:eastAsia="Times New Roman" w:cs="Arial"/>
                <w:sz w:val="20"/>
                <w:szCs w:val="20"/>
                <w:lang w:eastAsia="sv-SE"/>
              </w:rPr>
            </w:pPr>
          </w:p>
        </w:tc>
        <w:tc>
          <w:tcPr>
            <w:tcW w:w="961" w:type="dxa"/>
            <w:gridSpan w:val="2"/>
            <w:tcBorders>
              <w:top w:val="nil"/>
              <w:left w:val="nil"/>
              <w:bottom w:val="nil"/>
              <w:right w:val="nil"/>
            </w:tcBorders>
            <w:shd w:val="clear" w:color="auto" w:fill="auto"/>
            <w:noWrap/>
            <w:vAlign w:val="bottom"/>
            <w:hideMark/>
          </w:tcPr>
          <w:p w14:paraId="14408691" w14:textId="77777777" w:rsidR="000D59CC" w:rsidRPr="003745E1" w:rsidRDefault="000D59CC" w:rsidP="001F7593">
            <w:pPr>
              <w:spacing w:after="0" w:line="240" w:lineRule="auto"/>
              <w:rPr>
                <w:rFonts w:eastAsia="Times New Roman" w:cs="Arial"/>
                <w:sz w:val="20"/>
                <w:szCs w:val="20"/>
                <w:lang w:eastAsia="sv-SE"/>
              </w:rPr>
            </w:pPr>
          </w:p>
        </w:tc>
        <w:tc>
          <w:tcPr>
            <w:tcW w:w="683" w:type="dxa"/>
            <w:gridSpan w:val="2"/>
            <w:tcBorders>
              <w:top w:val="nil"/>
              <w:left w:val="nil"/>
              <w:bottom w:val="nil"/>
              <w:right w:val="nil"/>
            </w:tcBorders>
          </w:tcPr>
          <w:p w14:paraId="0A773196" w14:textId="77777777" w:rsidR="000D59CC" w:rsidRPr="003745E1" w:rsidRDefault="000D59CC" w:rsidP="001F7593">
            <w:pPr>
              <w:spacing w:after="0" w:line="240" w:lineRule="auto"/>
              <w:rPr>
                <w:rFonts w:eastAsia="Times New Roman" w:cs="Arial"/>
                <w:sz w:val="20"/>
                <w:szCs w:val="20"/>
                <w:lang w:eastAsia="sv-SE"/>
              </w:rPr>
            </w:pPr>
          </w:p>
        </w:tc>
        <w:tc>
          <w:tcPr>
            <w:tcW w:w="683" w:type="dxa"/>
            <w:gridSpan w:val="2"/>
            <w:tcBorders>
              <w:top w:val="nil"/>
              <w:left w:val="nil"/>
              <w:bottom w:val="nil"/>
              <w:right w:val="nil"/>
            </w:tcBorders>
          </w:tcPr>
          <w:p w14:paraId="19B5F0DB" w14:textId="77777777" w:rsidR="000D59CC" w:rsidRPr="003745E1" w:rsidRDefault="000D59CC" w:rsidP="001F7593">
            <w:pPr>
              <w:spacing w:after="0" w:line="240" w:lineRule="auto"/>
              <w:rPr>
                <w:rFonts w:eastAsia="Times New Roman" w:cs="Arial"/>
                <w:sz w:val="20"/>
                <w:szCs w:val="20"/>
                <w:lang w:eastAsia="sv-SE"/>
              </w:rPr>
            </w:pPr>
          </w:p>
        </w:tc>
        <w:tc>
          <w:tcPr>
            <w:tcW w:w="960" w:type="dxa"/>
            <w:gridSpan w:val="2"/>
            <w:tcBorders>
              <w:top w:val="nil"/>
              <w:left w:val="nil"/>
              <w:bottom w:val="nil"/>
              <w:right w:val="nil"/>
            </w:tcBorders>
            <w:shd w:val="clear" w:color="auto" w:fill="auto"/>
            <w:noWrap/>
            <w:vAlign w:val="bottom"/>
            <w:hideMark/>
          </w:tcPr>
          <w:p w14:paraId="73E5BF39" w14:textId="77777777" w:rsidR="000D59CC" w:rsidRPr="003745E1" w:rsidRDefault="000D59CC" w:rsidP="001F7593">
            <w:pPr>
              <w:spacing w:after="0" w:line="240" w:lineRule="auto"/>
              <w:rPr>
                <w:rFonts w:eastAsia="Times New Roman" w:cs="Arial"/>
                <w:sz w:val="20"/>
                <w:szCs w:val="20"/>
                <w:lang w:eastAsia="sv-SE"/>
              </w:rPr>
            </w:pPr>
          </w:p>
        </w:tc>
      </w:tr>
      <w:tr w:rsidR="003745E1" w:rsidRPr="000D59CC" w14:paraId="14321C1B" w14:textId="77777777" w:rsidTr="00822C91">
        <w:trPr>
          <w:gridAfter w:val="1"/>
          <w:wAfter w:w="692" w:type="dxa"/>
          <w:trHeight w:val="255"/>
        </w:trPr>
        <w:tc>
          <w:tcPr>
            <w:tcW w:w="28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FF69738" w14:textId="77777777" w:rsidR="003745E1" w:rsidRPr="003745E1" w:rsidRDefault="003745E1" w:rsidP="003745E1">
            <w:pPr>
              <w:spacing w:after="0" w:line="240" w:lineRule="auto"/>
              <w:rPr>
                <w:rFonts w:eastAsia="Times New Roman" w:cs="Arial"/>
                <w:b/>
                <w:bCs/>
                <w:sz w:val="20"/>
                <w:szCs w:val="20"/>
                <w:lang w:eastAsia="sv-SE"/>
              </w:rPr>
            </w:pPr>
            <w:r w:rsidRPr="003745E1">
              <w:rPr>
                <w:rFonts w:eastAsia="Times New Roman" w:cs="Arial"/>
                <w:b/>
                <w:bCs/>
                <w:sz w:val="20"/>
                <w:szCs w:val="20"/>
                <w:lang w:eastAsia="sv-SE"/>
              </w:rPr>
              <w:t>Personer som slutat under året*</w:t>
            </w:r>
          </w:p>
        </w:tc>
        <w:tc>
          <w:tcPr>
            <w:tcW w:w="683" w:type="dxa"/>
            <w:tcBorders>
              <w:top w:val="single" w:sz="4" w:space="0" w:color="auto"/>
              <w:left w:val="nil"/>
              <w:bottom w:val="single" w:sz="4" w:space="0" w:color="auto"/>
              <w:right w:val="single" w:sz="4" w:space="0" w:color="auto"/>
            </w:tcBorders>
            <w:shd w:val="clear" w:color="000000" w:fill="FFFF00"/>
            <w:noWrap/>
          </w:tcPr>
          <w:p w14:paraId="72142817" w14:textId="703B5287" w:rsidR="003745E1" w:rsidRPr="003745E1" w:rsidRDefault="00687F56" w:rsidP="003745E1">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2015</w:t>
            </w:r>
          </w:p>
        </w:tc>
        <w:tc>
          <w:tcPr>
            <w:tcW w:w="683" w:type="dxa"/>
            <w:tcBorders>
              <w:top w:val="single" w:sz="4" w:space="0" w:color="auto"/>
              <w:left w:val="nil"/>
              <w:bottom w:val="single" w:sz="4" w:space="0" w:color="auto"/>
              <w:right w:val="single" w:sz="4" w:space="0" w:color="auto"/>
            </w:tcBorders>
            <w:shd w:val="clear" w:color="000000" w:fill="FFFF00"/>
            <w:noWrap/>
          </w:tcPr>
          <w:p w14:paraId="0A52F804" w14:textId="79D7B85C" w:rsidR="003745E1" w:rsidRPr="003745E1" w:rsidRDefault="00687F56" w:rsidP="003745E1">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2016</w:t>
            </w:r>
          </w:p>
        </w:tc>
        <w:tc>
          <w:tcPr>
            <w:tcW w:w="683" w:type="dxa"/>
            <w:gridSpan w:val="2"/>
            <w:tcBorders>
              <w:top w:val="single" w:sz="4" w:space="0" w:color="auto"/>
              <w:left w:val="nil"/>
              <w:bottom w:val="single" w:sz="4" w:space="0" w:color="auto"/>
              <w:right w:val="single" w:sz="4" w:space="0" w:color="auto"/>
            </w:tcBorders>
            <w:shd w:val="clear" w:color="000000" w:fill="FFFF00"/>
          </w:tcPr>
          <w:p w14:paraId="2C015618" w14:textId="2112FE4A" w:rsidR="003745E1" w:rsidRPr="003745E1" w:rsidRDefault="00687F56" w:rsidP="003745E1">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2017</w:t>
            </w:r>
          </w:p>
        </w:tc>
        <w:tc>
          <w:tcPr>
            <w:tcW w:w="683" w:type="dxa"/>
            <w:gridSpan w:val="2"/>
            <w:tcBorders>
              <w:top w:val="single" w:sz="4" w:space="0" w:color="auto"/>
              <w:left w:val="nil"/>
              <w:bottom w:val="single" w:sz="4" w:space="0" w:color="auto"/>
              <w:right w:val="single" w:sz="4" w:space="0" w:color="auto"/>
            </w:tcBorders>
            <w:shd w:val="clear" w:color="000000" w:fill="FFFF00"/>
          </w:tcPr>
          <w:p w14:paraId="4A50A9BD" w14:textId="7A9A860C" w:rsidR="003745E1" w:rsidRPr="003745E1" w:rsidRDefault="00687F56" w:rsidP="003745E1">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2018</w:t>
            </w:r>
          </w:p>
        </w:tc>
        <w:tc>
          <w:tcPr>
            <w:tcW w:w="546" w:type="dxa"/>
            <w:gridSpan w:val="2"/>
            <w:tcBorders>
              <w:top w:val="single" w:sz="4" w:space="0" w:color="auto"/>
              <w:left w:val="nil"/>
              <w:bottom w:val="single" w:sz="4" w:space="0" w:color="auto"/>
              <w:right w:val="single" w:sz="4" w:space="0" w:color="auto"/>
            </w:tcBorders>
            <w:shd w:val="clear" w:color="000000" w:fill="FFFF00"/>
          </w:tcPr>
          <w:p w14:paraId="138C9B65" w14:textId="72E6853F" w:rsidR="003745E1" w:rsidRPr="003745E1" w:rsidRDefault="00687F56" w:rsidP="003745E1">
            <w:pPr>
              <w:spacing w:after="0" w:line="240" w:lineRule="auto"/>
              <w:jc w:val="center"/>
              <w:rPr>
                <w:rFonts w:eastAsia="Times New Roman" w:cs="Arial"/>
                <w:b/>
                <w:bCs/>
                <w:sz w:val="20"/>
                <w:szCs w:val="20"/>
                <w:lang w:eastAsia="sv-SE"/>
              </w:rPr>
            </w:pPr>
            <w:r>
              <w:rPr>
                <w:rFonts w:eastAsia="Times New Roman" w:cs="Arial"/>
                <w:b/>
                <w:bCs/>
                <w:sz w:val="20"/>
                <w:szCs w:val="20"/>
                <w:lang w:eastAsia="sv-SE"/>
              </w:rPr>
              <w:t>2019</w:t>
            </w:r>
          </w:p>
        </w:tc>
      </w:tr>
      <w:tr w:rsidR="009A1B16" w:rsidRPr="000D59CC" w14:paraId="562C76E3" w14:textId="77777777" w:rsidTr="00822C91">
        <w:trPr>
          <w:gridAfter w:val="1"/>
          <w:wAfter w:w="692" w:type="dxa"/>
          <w:trHeight w:val="255"/>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616CE3F1"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Antal kvinnor</w:t>
            </w:r>
          </w:p>
        </w:tc>
        <w:tc>
          <w:tcPr>
            <w:tcW w:w="683" w:type="dxa"/>
            <w:tcBorders>
              <w:top w:val="nil"/>
              <w:left w:val="nil"/>
              <w:bottom w:val="single" w:sz="4" w:space="0" w:color="auto"/>
              <w:right w:val="single" w:sz="4" w:space="0" w:color="auto"/>
            </w:tcBorders>
            <w:shd w:val="clear" w:color="auto" w:fill="auto"/>
            <w:noWrap/>
            <w:vAlign w:val="bottom"/>
          </w:tcPr>
          <w:p w14:paraId="29716DDE" w14:textId="425EAD95" w:rsidR="009A1B16" w:rsidRPr="003745E1" w:rsidRDefault="009A1B16" w:rsidP="009A1B16">
            <w:pPr>
              <w:spacing w:after="0" w:line="240" w:lineRule="auto"/>
              <w:jc w:val="center"/>
              <w:rPr>
                <w:rFonts w:eastAsia="Times New Roman" w:cs="Arial"/>
                <w:sz w:val="20"/>
                <w:szCs w:val="20"/>
                <w:lang w:eastAsia="sv-SE"/>
              </w:rPr>
            </w:pPr>
            <w:r w:rsidRPr="003745E1">
              <w:rPr>
                <w:rFonts w:ascii="Calibri" w:hAnsi="Calibri"/>
                <w:color w:val="000000"/>
                <w:sz w:val="20"/>
                <w:szCs w:val="20"/>
              </w:rPr>
              <w:t>24</w:t>
            </w:r>
          </w:p>
        </w:tc>
        <w:tc>
          <w:tcPr>
            <w:tcW w:w="683" w:type="dxa"/>
            <w:tcBorders>
              <w:top w:val="nil"/>
              <w:left w:val="nil"/>
              <w:bottom w:val="single" w:sz="4" w:space="0" w:color="auto"/>
              <w:right w:val="single" w:sz="4" w:space="0" w:color="auto"/>
            </w:tcBorders>
            <w:shd w:val="clear" w:color="auto" w:fill="auto"/>
            <w:noWrap/>
          </w:tcPr>
          <w:p w14:paraId="7F90A4E7" w14:textId="1E0F0C1C" w:rsidR="009A1B16" w:rsidRPr="003745E1" w:rsidRDefault="009A1B16" w:rsidP="009A1B16">
            <w:pPr>
              <w:spacing w:after="0" w:line="240" w:lineRule="auto"/>
              <w:jc w:val="center"/>
              <w:rPr>
                <w:rFonts w:eastAsia="Times New Roman" w:cs="Arial"/>
                <w:sz w:val="20"/>
                <w:szCs w:val="20"/>
                <w:lang w:eastAsia="sv-SE"/>
              </w:rPr>
            </w:pPr>
            <w:r w:rsidRPr="003745E1">
              <w:rPr>
                <w:rFonts w:ascii="Calibri" w:hAnsi="Calibri"/>
                <w:color w:val="000000"/>
                <w:sz w:val="20"/>
                <w:szCs w:val="20"/>
              </w:rPr>
              <w:t>32</w:t>
            </w:r>
          </w:p>
        </w:tc>
        <w:tc>
          <w:tcPr>
            <w:tcW w:w="683" w:type="dxa"/>
            <w:gridSpan w:val="2"/>
            <w:tcBorders>
              <w:top w:val="nil"/>
              <w:left w:val="nil"/>
              <w:bottom w:val="single" w:sz="4" w:space="0" w:color="auto"/>
              <w:right w:val="single" w:sz="4" w:space="0" w:color="auto"/>
            </w:tcBorders>
          </w:tcPr>
          <w:p w14:paraId="6B132827" w14:textId="79932A0F" w:rsidR="009A1B16" w:rsidRPr="003745E1" w:rsidRDefault="009A1B16" w:rsidP="009A1B16">
            <w:pPr>
              <w:spacing w:after="0" w:line="240" w:lineRule="auto"/>
              <w:jc w:val="center"/>
              <w:rPr>
                <w:rFonts w:eastAsia="Times New Roman" w:cs="Arial"/>
                <w:sz w:val="20"/>
                <w:szCs w:val="20"/>
                <w:lang w:eastAsia="sv-SE"/>
              </w:rPr>
            </w:pPr>
            <w:r w:rsidRPr="003745E1">
              <w:rPr>
                <w:rFonts w:ascii="Calibri" w:hAnsi="Calibri"/>
                <w:color w:val="000000"/>
                <w:sz w:val="20"/>
                <w:szCs w:val="20"/>
              </w:rPr>
              <w:t>24</w:t>
            </w:r>
          </w:p>
        </w:tc>
        <w:tc>
          <w:tcPr>
            <w:tcW w:w="683" w:type="dxa"/>
            <w:gridSpan w:val="2"/>
            <w:tcBorders>
              <w:top w:val="nil"/>
              <w:left w:val="nil"/>
              <w:bottom w:val="single" w:sz="4" w:space="0" w:color="auto"/>
              <w:right w:val="single" w:sz="4" w:space="0" w:color="auto"/>
            </w:tcBorders>
            <w:vAlign w:val="bottom"/>
          </w:tcPr>
          <w:p w14:paraId="58F85248" w14:textId="578A0FC3" w:rsidR="009A1B16" w:rsidRPr="003745E1" w:rsidRDefault="009A1B16" w:rsidP="009A1B16">
            <w:pPr>
              <w:spacing w:after="0" w:line="240" w:lineRule="auto"/>
              <w:jc w:val="center"/>
              <w:rPr>
                <w:rFonts w:ascii="Calibri" w:hAnsi="Calibri"/>
                <w:color w:val="000000"/>
                <w:sz w:val="20"/>
                <w:szCs w:val="20"/>
              </w:rPr>
            </w:pPr>
            <w:r w:rsidRPr="003745E1">
              <w:rPr>
                <w:rFonts w:ascii="Calibri" w:hAnsi="Calibri"/>
                <w:color w:val="000000"/>
                <w:sz w:val="20"/>
                <w:szCs w:val="20"/>
              </w:rPr>
              <w:t>24</w:t>
            </w:r>
          </w:p>
        </w:tc>
        <w:tc>
          <w:tcPr>
            <w:tcW w:w="546" w:type="dxa"/>
            <w:gridSpan w:val="2"/>
            <w:tcBorders>
              <w:top w:val="nil"/>
              <w:left w:val="nil"/>
              <w:bottom w:val="single" w:sz="4" w:space="0" w:color="auto"/>
              <w:right w:val="single" w:sz="4" w:space="0" w:color="auto"/>
            </w:tcBorders>
            <w:vAlign w:val="bottom"/>
          </w:tcPr>
          <w:p w14:paraId="49798692" w14:textId="6348BDFA" w:rsidR="009A1B16" w:rsidRPr="003745E1" w:rsidRDefault="009A1B16" w:rsidP="009A1B16">
            <w:pPr>
              <w:spacing w:after="0" w:line="240" w:lineRule="auto"/>
              <w:jc w:val="center"/>
              <w:rPr>
                <w:rFonts w:ascii="Calibri" w:hAnsi="Calibri"/>
                <w:color w:val="000000"/>
                <w:sz w:val="20"/>
                <w:szCs w:val="20"/>
              </w:rPr>
            </w:pPr>
            <w:r>
              <w:rPr>
                <w:color w:val="000000"/>
                <w:sz w:val="20"/>
                <w:szCs w:val="20"/>
              </w:rPr>
              <w:t>44 </w:t>
            </w:r>
          </w:p>
        </w:tc>
      </w:tr>
      <w:tr w:rsidR="009A1B16" w:rsidRPr="000D59CC" w14:paraId="6269B5BB" w14:textId="77777777" w:rsidTr="00822C91">
        <w:trPr>
          <w:gridAfter w:val="1"/>
          <w:wAfter w:w="692" w:type="dxa"/>
          <w:trHeight w:val="255"/>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02D9D93B"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 xml:space="preserve">Antal män   </w:t>
            </w:r>
          </w:p>
        </w:tc>
        <w:tc>
          <w:tcPr>
            <w:tcW w:w="683" w:type="dxa"/>
            <w:tcBorders>
              <w:top w:val="nil"/>
              <w:left w:val="nil"/>
              <w:bottom w:val="single" w:sz="4" w:space="0" w:color="auto"/>
              <w:right w:val="single" w:sz="4" w:space="0" w:color="auto"/>
            </w:tcBorders>
            <w:shd w:val="clear" w:color="auto" w:fill="auto"/>
            <w:noWrap/>
            <w:vAlign w:val="bottom"/>
          </w:tcPr>
          <w:p w14:paraId="7A6F5C16" w14:textId="45360458" w:rsidR="009A1B16" w:rsidRPr="003745E1" w:rsidRDefault="009A1B16" w:rsidP="009A1B16">
            <w:pPr>
              <w:spacing w:after="0" w:line="240" w:lineRule="auto"/>
              <w:jc w:val="center"/>
              <w:rPr>
                <w:rFonts w:eastAsia="Times New Roman" w:cs="Arial"/>
                <w:sz w:val="20"/>
                <w:szCs w:val="20"/>
                <w:lang w:eastAsia="sv-SE"/>
              </w:rPr>
            </w:pPr>
            <w:r w:rsidRPr="003745E1">
              <w:rPr>
                <w:rFonts w:ascii="Calibri" w:hAnsi="Calibri"/>
                <w:color w:val="000000"/>
                <w:sz w:val="20"/>
                <w:szCs w:val="20"/>
              </w:rPr>
              <w:t>22</w:t>
            </w:r>
          </w:p>
        </w:tc>
        <w:tc>
          <w:tcPr>
            <w:tcW w:w="683" w:type="dxa"/>
            <w:tcBorders>
              <w:top w:val="nil"/>
              <w:left w:val="nil"/>
              <w:bottom w:val="single" w:sz="4" w:space="0" w:color="auto"/>
              <w:right w:val="single" w:sz="4" w:space="0" w:color="auto"/>
            </w:tcBorders>
            <w:shd w:val="clear" w:color="auto" w:fill="auto"/>
            <w:noWrap/>
          </w:tcPr>
          <w:p w14:paraId="1D2CA5EB" w14:textId="425050EF" w:rsidR="009A1B16" w:rsidRPr="003745E1" w:rsidRDefault="009A1B16" w:rsidP="009A1B16">
            <w:pPr>
              <w:spacing w:after="0" w:line="240" w:lineRule="auto"/>
              <w:jc w:val="center"/>
              <w:rPr>
                <w:rFonts w:eastAsia="Times New Roman" w:cs="Arial"/>
                <w:sz w:val="20"/>
                <w:szCs w:val="20"/>
                <w:lang w:eastAsia="sv-SE"/>
              </w:rPr>
            </w:pPr>
            <w:r w:rsidRPr="003745E1">
              <w:rPr>
                <w:rFonts w:ascii="Calibri" w:hAnsi="Calibri"/>
                <w:color w:val="000000"/>
                <w:sz w:val="20"/>
                <w:szCs w:val="20"/>
              </w:rPr>
              <w:t>22</w:t>
            </w:r>
          </w:p>
        </w:tc>
        <w:tc>
          <w:tcPr>
            <w:tcW w:w="683" w:type="dxa"/>
            <w:gridSpan w:val="2"/>
            <w:tcBorders>
              <w:top w:val="nil"/>
              <w:left w:val="nil"/>
              <w:bottom w:val="single" w:sz="4" w:space="0" w:color="auto"/>
              <w:right w:val="single" w:sz="4" w:space="0" w:color="auto"/>
            </w:tcBorders>
          </w:tcPr>
          <w:p w14:paraId="54E5DE65" w14:textId="1DC16DF3" w:rsidR="009A1B16" w:rsidRPr="003745E1" w:rsidRDefault="009A1B16" w:rsidP="009A1B16">
            <w:pPr>
              <w:spacing w:after="0" w:line="240" w:lineRule="auto"/>
              <w:jc w:val="center"/>
              <w:rPr>
                <w:rFonts w:eastAsia="Times New Roman" w:cs="Arial"/>
                <w:sz w:val="20"/>
                <w:szCs w:val="20"/>
                <w:lang w:eastAsia="sv-SE"/>
              </w:rPr>
            </w:pPr>
            <w:r w:rsidRPr="003745E1">
              <w:rPr>
                <w:rFonts w:ascii="Calibri" w:hAnsi="Calibri"/>
                <w:color w:val="000000"/>
                <w:sz w:val="20"/>
                <w:szCs w:val="20"/>
              </w:rPr>
              <w:t>46</w:t>
            </w:r>
          </w:p>
        </w:tc>
        <w:tc>
          <w:tcPr>
            <w:tcW w:w="683" w:type="dxa"/>
            <w:gridSpan w:val="2"/>
            <w:tcBorders>
              <w:top w:val="nil"/>
              <w:left w:val="nil"/>
              <w:bottom w:val="single" w:sz="4" w:space="0" w:color="auto"/>
              <w:right w:val="single" w:sz="4" w:space="0" w:color="auto"/>
            </w:tcBorders>
            <w:vAlign w:val="bottom"/>
          </w:tcPr>
          <w:p w14:paraId="1191A11C" w14:textId="668B8E12" w:rsidR="009A1B16" w:rsidRPr="003745E1" w:rsidRDefault="009A1B16" w:rsidP="009A1B16">
            <w:pPr>
              <w:spacing w:after="0" w:line="240" w:lineRule="auto"/>
              <w:jc w:val="center"/>
              <w:rPr>
                <w:rFonts w:ascii="Calibri" w:hAnsi="Calibri"/>
                <w:color w:val="000000"/>
                <w:sz w:val="20"/>
                <w:szCs w:val="20"/>
              </w:rPr>
            </w:pPr>
            <w:r w:rsidRPr="003745E1">
              <w:rPr>
                <w:rFonts w:ascii="Calibri" w:hAnsi="Calibri"/>
                <w:color w:val="000000"/>
                <w:sz w:val="20"/>
                <w:szCs w:val="20"/>
              </w:rPr>
              <w:t>33</w:t>
            </w:r>
          </w:p>
        </w:tc>
        <w:tc>
          <w:tcPr>
            <w:tcW w:w="546" w:type="dxa"/>
            <w:gridSpan w:val="2"/>
            <w:tcBorders>
              <w:top w:val="nil"/>
              <w:left w:val="nil"/>
              <w:bottom w:val="single" w:sz="4" w:space="0" w:color="auto"/>
              <w:right w:val="single" w:sz="4" w:space="0" w:color="auto"/>
            </w:tcBorders>
            <w:vAlign w:val="bottom"/>
          </w:tcPr>
          <w:p w14:paraId="1ADE6F8A" w14:textId="78AD0678" w:rsidR="009A1B16" w:rsidRPr="003745E1" w:rsidRDefault="009A1B16" w:rsidP="009A1B16">
            <w:pPr>
              <w:spacing w:after="0" w:line="240" w:lineRule="auto"/>
              <w:jc w:val="center"/>
              <w:rPr>
                <w:rFonts w:ascii="Calibri" w:hAnsi="Calibri"/>
                <w:color w:val="000000"/>
                <w:sz w:val="20"/>
                <w:szCs w:val="20"/>
              </w:rPr>
            </w:pPr>
            <w:r>
              <w:rPr>
                <w:color w:val="000000"/>
                <w:sz w:val="20"/>
                <w:szCs w:val="20"/>
              </w:rPr>
              <w:t>47 </w:t>
            </w:r>
          </w:p>
        </w:tc>
      </w:tr>
      <w:tr w:rsidR="009A1B16" w:rsidRPr="000D59CC" w14:paraId="3B43440D" w14:textId="77777777" w:rsidTr="00822C91">
        <w:trPr>
          <w:gridAfter w:val="1"/>
          <w:wAfter w:w="692" w:type="dxa"/>
          <w:trHeight w:val="255"/>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DB468" w14:textId="77777777" w:rsidR="009A1B16" w:rsidRPr="003745E1" w:rsidRDefault="009A1B16" w:rsidP="009A1B16">
            <w:pPr>
              <w:spacing w:after="0" w:line="240" w:lineRule="auto"/>
              <w:rPr>
                <w:rFonts w:eastAsia="Times New Roman" w:cs="Arial"/>
                <w:sz w:val="20"/>
                <w:szCs w:val="20"/>
                <w:lang w:eastAsia="sv-SE"/>
              </w:rPr>
            </w:pPr>
            <w:r w:rsidRPr="003745E1">
              <w:rPr>
                <w:rFonts w:eastAsia="Times New Roman" w:cs="Arial"/>
                <w:sz w:val="20"/>
                <w:szCs w:val="20"/>
                <w:lang w:eastAsia="sv-SE"/>
              </w:rPr>
              <w:t>Antal totalt</w:t>
            </w:r>
          </w:p>
        </w:tc>
        <w:tc>
          <w:tcPr>
            <w:tcW w:w="683" w:type="dxa"/>
            <w:tcBorders>
              <w:top w:val="single" w:sz="4" w:space="0" w:color="auto"/>
              <w:left w:val="nil"/>
              <w:bottom w:val="nil"/>
              <w:right w:val="nil"/>
            </w:tcBorders>
            <w:shd w:val="clear" w:color="auto" w:fill="auto"/>
            <w:noWrap/>
            <w:vAlign w:val="bottom"/>
          </w:tcPr>
          <w:p w14:paraId="67AEBBB7" w14:textId="44518E4B" w:rsidR="009A1B16" w:rsidRPr="003745E1" w:rsidRDefault="009A1B16" w:rsidP="009A1B16">
            <w:pPr>
              <w:spacing w:after="0" w:line="240" w:lineRule="auto"/>
              <w:jc w:val="center"/>
              <w:rPr>
                <w:rFonts w:eastAsia="Times New Roman" w:cs="Arial"/>
                <w:sz w:val="20"/>
                <w:szCs w:val="20"/>
                <w:lang w:eastAsia="sv-SE"/>
              </w:rPr>
            </w:pPr>
            <w:r w:rsidRPr="003745E1">
              <w:rPr>
                <w:rFonts w:ascii="Calibri" w:hAnsi="Calibri"/>
                <w:color w:val="000000"/>
                <w:sz w:val="20"/>
                <w:szCs w:val="20"/>
              </w:rPr>
              <w:t>46</w:t>
            </w:r>
          </w:p>
        </w:tc>
        <w:tc>
          <w:tcPr>
            <w:tcW w:w="683" w:type="dxa"/>
            <w:tcBorders>
              <w:top w:val="nil"/>
              <w:left w:val="single" w:sz="4" w:space="0" w:color="auto"/>
              <w:bottom w:val="single" w:sz="4" w:space="0" w:color="auto"/>
              <w:right w:val="single" w:sz="4" w:space="0" w:color="auto"/>
            </w:tcBorders>
            <w:shd w:val="clear" w:color="auto" w:fill="auto"/>
            <w:noWrap/>
          </w:tcPr>
          <w:p w14:paraId="356455B1" w14:textId="1E3DB499" w:rsidR="009A1B16" w:rsidRPr="003745E1" w:rsidRDefault="009A1B16" w:rsidP="009A1B16">
            <w:pPr>
              <w:spacing w:after="0" w:line="240" w:lineRule="auto"/>
              <w:jc w:val="center"/>
              <w:rPr>
                <w:rFonts w:eastAsia="Times New Roman" w:cs="Arial"/>
                <w:sz w:val="20"/>
                <w:szCs w:val="20"/>
                <w:lang w:eastAsia="sv-SE"/>
              </w:rPr>
            </w:pPr>
            <w:r w:rsidRPr="003745E1">
              <w:rPr>
                <w:rFonts w:ascii="Calibri" w:hAnsi="Calibri"/>
                <w:color w:val="000000"/>
                <w:sz w:val="20"/>
                <w:szCs w:val="20"/>
              </w:rPr>
              <w:t>54</w:t>
            </w:r>
          </w:p>
        </w:tc>
        <w:tc>
          <w:tcPr>
            <w:tcW w:w="683" w:type="dxa"/>
            <w:gridSpan w:val="2"/>
            <w:tcBorders>
              <w:top w:val="nil"/>
              <w:left w:val="single" w:sz="4" w:space="0" w:color="auto"/>
              <w:bottom w:val="single" w:sz="4" w:space="0" w:color="auto"/>
              <w:right w:val="single" w:sz="4" w:space="0" w:color="auto"/>
            </w:tcBorders>
          </w:tcPr>
          <w:p w14:paraId="65382497" w14:textId="20A3B75B" w:rsidR="009A1B16" w:rsidRPr="003745E1" w:rsidRDefault="009A1B16" w:rsidP="009A1B16">
            <w:pPr>
              <w:spacing w:after="0" w:line="240" w:lineRule="auto"/>
              <w:jc w:val="center"/>
              <w:rPr>
                <w:rFonts w:eastAsia="Times New Roman" w:cs="Arial"/>
                <w:sz w:val="20"/>
                <w:szCs w:val="20"/>
                <w:lang w:eastAsia="sv-SE"/>
              </w:rPr>
            </w:pPr>
            <w:r w:rsidRPr="003745E1">
              <w:rPr>
                <w:rFonts w:ascii="Calibri" w:hAnsi="Calibri"/>
                <w:color w:val="000000"/>
                <w:sz w:val="20"/>
                <w:szCs w:val="20"/>
              </w:rPr>
              <w:t>70</w:t>
            </w:r>
          </w:p>
        </w:tc>
        <w:tc>
          <w:tcPr>
            <w:tcW w:w="683" w:type="dxa"/>
            <w:gridSpan w:val="2"/>
            <w:tcBorders>
              <w:top w:val="nil"/>
              <w:left w:val="single" w:sz="4" w:space="0" w:color="auto"/>
              <w:bottom w:val="single" w:sz="4" w:space="0" w:color="auto"/>
              <w:right w:val="single" w:sz="4" w:space="0" w:color="auto"/>
            </w:tcBorders>
            <w:vAlign w:val="bottom"/>
          </w:tcPr>
          <w:p w14:paraId="35E0A506" w14:textId="12D62767" w:rsidR="009A1B16" w:rsidRPr="003745E1" w:rsidRDefault="009A1B16" w:rsidP="009A1B16">
            <w:pPr>
              <w:spacing w:after="0" w:line="240" w:lineRule="auto"/>
              <w:jc w:val="center"/>
              <w:rPr>
                <w:rFonts w:ascii="Calibri" w:hAnsi="Calibri"/>
                <w:color w:val="000000"/>
                <w:sz w:val="20"/>
                <w:szCs w:val="20"/>
              </w:rPr>
            </w:pPr>
            <w:r w:rsidRPr="003745E1">
              <w:rPr>
                <w:rFonts w:ascii="Calibri" w:hAnsi="Calibri"/>
                <w:color w:val="000000"/>
                <w:sz w:val="20"/>
                <w:szCs w:val="20"/>
              </w:rPr>
              <w:t>57</w:t>
            </w:r>
          </w:p>
        </w:tc>
        <w:tc>
          <w:tcPr>
            <w:tcW w:w="546" w:type="dxa"/>
            <w:gridSpan w:val="2"/>
            <w:tcBorders>
              <w:top w:val="nil"/>
              <w:left w:val="single" w:sz="4" w:space="0" w:color="auto"/>
              <w:bottom w:val="single" w:sz="4" w:space="0" w:color="auto"/>
              <w:right w:val="single" w:sz="4" w:space="0" w:color="auto"/>
            </w:tcBorders>
            <w:vAlign w:val="bottom"/>
          </w:tcPr>
          <w:p w14:paraId="0627ADCD" w14:textId="20DE23F4" w:rsidR="009A1B16" w:rsidRPr="003745E1" w:rsidRDefault="009A1B16" w:rsidP="009A1B16">
            <w:pPr>
              <w:spacing w:after="0" w:line="240" w:lineRule="auto"/>
              <w:jc w:val="center"/>
              <w:rPr>
                <w:rFonts w:ascii="Calibri" w:hAnsi="Calibri"/>
                <w:color w:val="000000"/>
                <w:sz w:val="20"/>
                <w:szCs w:val="20"/>
              </w:rPr>
            </w:pPr>
            <w:r>
              <w:rPr>
                <w:color w:val="000000"/>
                <w:sz w:val="20"/>
                <w:szCs w:val="20"/>
              </w:rPr>
              <w:t>91 </w:t>
            </w:r>
          </w:p>
        </w:tc>
      </w:tr>
      <w:tr w:rsidR="009A1B16" w:rsidRPr="00DD25F9" w14:paraId="587FB743" w14:textId="77777777" w:rsidTr="00822C91">
        <w:trPr>
          <w:gridAfter w:val="1"/>
          <w:wAfter w:w="692" w:type="dxa"/>
          <w:trHeight w:val="255"/>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1E967181" w14:textId="77777777" w:rsidR="009A1B16" w:rsidRPr="00DD25F9" w:rsidRDefault="009A1B16" w:rsidP="009A1B16">
            <w:pPr>
              <w:spacing w:after="0" w:line="240" w:lineRule="auto"/>
              <w:rPr>
                <w:rFonts w:eastAsia="Times New Roman" w:cs="Arial"/>
                <w:sz w:val="20"/>
                <w:szCs w:val="20"/>
                <w:lang w:eastAsia="sv-SE"/>
              </w:rPr>
            </w:pPr>
            <w:r w:rsidRPr="00DD25F9">
              <w:rPr>
                <w:rFonts w:eastAsia="Times New Roman" w:cs="Arial"/>
                <w:sz w:val="20"/>
                <w:szCs w:val="20"/>
                <w:lang w:eastAsia="sv-SE"/>
              </w:rPr>
              <w:t>Personalomsättning</w:t>
            </w:r>
          </w:p>
        </w:tc>
        <w:tc>
          <w:tcPr>
            <w:tcW w:w="683" w:type="dxa"/>
            <w:tcBorders>
              <w:top w:val="single" w:sz="4" w:space="0" w:color="auto"/>
              <w:left w:val="nil"/>
              <w:bottom w:val="single" w:sz="4" w:space="0" w:color="auto"/>
              <w:right w:val="single" w:sz="4" w:space="0" w:color="auto"/>
            </w:tcBorders>
            <w:shd w:val="clear" w:color="auto" w:fill="auto"/>
            <w:noWrap/>
            <w:vAlign w:val="bottom"/>
          </w:tcPr>
          <w:p w14:paraId="0C8D1FFB" w14:textId="07CCA36C" w:rsidR="009A1B16" w:rsidRPr="00DD25F9" w:rsidRDefault="009A1B16" w:rsidP="009A1B16">
            <w:pPr>
              <w:spacing w:after="0" w:line="240" w:lineRule="auto"/>
              <w:jc w:val="center"/>
              <w:rPr>
                <w:rFonts w:eastAsia="Times New Roman" w:cs="Arial"/>
                <w:sz w:val="20"/>
                <w:szCs w:val="20"/>
                <w:lang w:eastAsia="sv-SE"/>
              </w:rPr>
            </w:pPr>
            <w:r w:rsidRPr="00DD25F9">
              <w:rPr>
                <w:rFonts w:ascii="Calibri" w:hAnsi="Calibri"/>
                <w:color w:val="000000"/>
                <w:sz w:val="20"/>
                <w:szCs w:val="20"/>
              </w:rPr>
              <w:t>19,2%</w:t>
            </w:r>
          </w:p>
        </w:tc>
        <w:tc>
          <w:tcPr>
            <w:tcW w:w="683" w:type="dxa"/>
            <w:tcBorders>
              <w:top w:val="nil"/>
              <w:left w:val="nil"/>
              <w:bottom w:val="single" w:sz="4" w:space="0" w:color="auto"/>
              <w:right w:val="single" w:sz="4" w:space="0" w:color="auto"/>
            </w:tcBorders>
            <w:shd w:val="clear" w:color="auto" w:fill="auto"/>
            <w:noWrap/>
          </w:tcPr>
          <w:p w14:paraId="1D10A9EA" w14:textId="404607E8" w:rsidR="009A1B16" w:rsidRPr="00DD25F9" w:rsidRDefault="009A1B16" w:rsidP="009A1B16">
            <w:pPr>
              <w:spacing w:after="0" w:line="240" w:lineRule="auto"/>
              <w:jc w:val="center"/>
              <w:rPr>
                <w:rFonts w:eastAsia="Times New Roman" w:cs="Arial"/>
                <w:sz w:val="20"/>
                <w:szCs w:val="20"/>
                <w:lang w:eastAsia="sv-SE"/>
              </w:rPr>
            </w:pPr>
            <w:r w:rsidRPr="00DD25F9">
              <w:rPr>
                <w:rFonts w:ascii="Calibri" w:hAnsi="Calibri"/>
                <w:color w:val="000000"/>
                <w:sz w:val="20"/>
                <w:szCs w:val="20"/>
              </w:rPr>
              <w:t>22,5%</w:t>
            </w:r>
          </w:p>
        </w:tc>
        <w:tc>
          <w:tcPr>
            <w:tcW w:w="683" w:type="dxa"/>
            <w:gridSpan w:val="2"/>
            <w:tcBorders>
              <w:top w:val="nil"/>
              <w:left w:val="nil"/>
              <w:bottom w:val="single" w:sz="4" w:space="0" w:color="auto"/>
              <w:right w:val="single" w:sz="4" w:space="0" w:color="auto"/>
            </w:tcBorders>
          </w:tcPr>
          <w:p w14:paraId="235345A9" w14:textId="43BDDAC0" w:rsidR="009A1B16" w:rsidRPr="00DD25F9" w:rsidRDefault="009A1B16" w:rsidP="009A1B16">
            <w:pPr>
              <w:spacing w:after="0" w:line="240" w:lineRule="auto"/>
              <w:jc w:val="center"/>
              <w:rPr>
                <w:rFonts w:eastAsia="Times New Roman" w:cs="Arial"/>
                <w:sz w:val="20"/>
                <w:szCs w:val="20"/>
                <w:lang w:eastAsia="sv-SE"/>
              </w:rPr>
            </w:pPr>
            <w:r w:rsidRPr="00DD25F9">
              <w:rPr>
                <w:rFonts w:ascii="Calibri" w:hAnsi="Calibri"/>
                <w:color w:val="000000"/>
                <w:sz w:val="20"/>
                <w:szCs w:val="20"/>
              </w:rPr>
              <w:t>23,5%</w:t>
            </w:r>
          </w:p>
        </w:tc>
        <w:tc>
          <w:tcPr>
            <w:tcW w:w="683" w:type="dxa"/>
            <w:gridSpan w:val="2"/>
            <w:tcBorders>
              <w:top w:val="nil"/>
              <w:left w:val="nil"/>
              <w:bottom w:val="single" w:sz="4" w:space="0" w:color="auto"/>
              <w:right w:val="single" w:sz="4" w:space="0" w:color="auto"/>
            </w:tcBorders>
            <w:vAlign w:val="bottom"/>
          </w:tcPr>
          <w:p w14:paraId="4CA41B17" w14:textId="3CB24C3F" w:rsidR="009A1B16" w:rsidRPr="00DD25F9" w:rsidRDefault="009A1B16" w:rsidP="009A1B16">
            <w:pPr>
              <w:spacing w:after="0" w:line="240" w:lineRule="auto"/>
              <w:jc w:val="center"/>
              <w:rPr>
                <w:rFonts w:ascii="Calibri" w:hAnsi="Calibri"/>
                <w:color w:val="000000"/>
                <w:sz w:val="20"/>
                <w:szCs w:val="20"/>
              </w:rPr>
            </w:pPr>
            <w:r>
              <w:rPr>
                <w:rFonts w:ascii="Calibri" w:hAnsi="Calibri"/>
                <w:color w:val="000000"/>
                <w:sz w:val="20"/>
                <w:szCs w:val="20"/>
              </w:rPr>
              <w:t>18,2</w:t>
            </w:r>
            <w:r w:rsidRPr="00DD25F9">
              <w:rPr>
                <w:rFonts w:ascii="Calibri" w:hAnsi="Calibri"/>
                <w:color w:val="000000"/>
                <w:sz w:val="20"/>
                <w:szCs w:val="20"/>
              </w:rPr>
              <w:t>%</w:t>
            </w:r>
          </w:p>
        </w:tc>
        <w:tc>
          <w:tcPr>
            <w:tcW w:w="546" w:type="dxa"/>
            <w:gridSpan w:val="2"/>
            <w:tcBorders>
              <w:top w:val="nil"/>
              <w:left w:val="nil"/>
              <w:bottom w:val="single" w:sz="4" w:space="0" w:color="auto"/>
              <w:right w:val="single" w:sz="4" w:space="0" w:color="auto"/>
            </w:tcBorders>
            <w:vAlign w:val="bottom"/>
          </w:tcPr>
          <w:p w14:paraId="4EB0321F" w14:textId="051612F3" w:rsidR="009A1B16" w:rsidRPr="00DD25F9" w:rsidRDefault="009A1B16" w:rsidP="009A1B16">
            <w:pPr>
              <w:spacing w:after="0" w:line="240" w:lineRule="auto"/>
              <w:jc w:val="center"/>
              <w:rPr>
                <w:rFonts w:ascii="Calibri" w:hAnsi="Calibri"/>
                <w:color w:val="000000"/>
                <w:sz w:val="20"/>
                <w:szCs w:val="20"/>
              </w:rPr>
            </w:pPr>
            <w:r>
              <w:rPr>
                <w:color w:val="000000"/>
                <w:sz w:val="20"/>
                <w:szCs w:val="20"/>
              </w:rPr>
              <w:t> 34,7</w:t>
            </w:r>
          </w:p>
        </w:tc>
      </w:tr>
    </w:tbl>
    <w:p w14:paraId="36A663AD" w14:textId="77777777" w:rsidR="001F7593" w:rsidRPr="00DD25F9" w:rsidRDefault="007C45E9" w:rsidP="00270C26">
      <w:pPr>
        <w:ind w:left="360"/>
        <w:rPr>
          <w:color w:val="000000" w:themeColor="text1"/>
          <w:sz w:val="20"/>
          <w:szCs w:val="20"/>
        </w:rPr>
      </w:pPr>
      <w:r w:rsidRPr="00DD25F9">
        <w:rPr>
          <w:color w:val="000000" w:themeColor="text1"/>
          <w:sz w:val="20"/>
          <w:szCs w:val="20"/>
        </w:rPr>
        <w:t>*Räknas på antal tillsvidareanställda</w:t>
      </w:r>
    </w:p>
    <w:p w14:paraId="548D0F6E" w14:textId="77777777" w:rsidR="00624450" w:rsidRPr="000D59CC" w:rsidRDefault="00624450" w:rsidP="005F2B94">
      <w:pPr>
        <w:spacing w:after="0" w:line="240" w:lineRule="auto"/>
        <w:ind w:firstLine="360"/>
        <w:rPr>
          <w:rFonts w:eastAsia="Times New Roman" w:cs="Arial"/>
          <w:b/>
          <w:bCs/>
          <w:sz w:val="20"/>
          <w:szCs w:val="20"/>
          <w:highlight w:val="yellow"/>
          <w:lang w:eastAsia="sv-SE"/>
        </w:rPr>
      </w:pPr>
    </w:p>
    <w:p w14:paraId="492183E6" w14:textId="77777777" w:rsidR="00D263E0" w:rsidRPr="00047A9F" w:rsidRDefault="00D263E0" w:rsidP="008F4532">
      <w:pPr>
        <w:spacing w:after="0" w:line="240" w:lineRule="auto"/>
        <w:ind w:left="360"/>
        <w:rPr>
          <w:b/>
          <w:color w:val="000000" w:themeColor="text1"/>
          <w:sz w:val="20"/>
          <w:szCs w:val="20"/>
        </w:rPr>
      </w:pPr>
      <w:r w:rsidRPr="00047A9F">
        <w:rPr>
          <w:b/>
          <w:color w:val="000000" w:themeColor="text1"/>
          <w:sz w:val="20"/>
          <w:szCs w:val="20"/>
        </w:rPr>
        <w:t>Personalomsättning Bilreda</w:t>
      </w:r>
    </w:p>
    <w:tbl>
      <w:tblPr>
        <w:tblW w:w="5524" w:type="dxa"/>
        <w:tblInd w:w="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884"/>
        <w:gridCol w:w="655"/>
        <w:gridCol w:w="709"/>
        <w:gridCol w:w="709"/>
        <w:gridCol w:w="567"/>
      </w:tblGrid>
      <w:tr w:rsidR="00047A9F" w:rsidRPr="00047A9F" w14:paraId="1993B91D" w14:textId="24C16C1E" w:rsidTr="00822C91">
        <w:trPr>
          <w:trHeight w:val="300"/>
        </w:trPr>
        <w:tc>
          <w:tcPr>
            <w:tcW w:w="2884" w:type="dxa"/>
            <w:shd w:val="clear" w:color="auto" w:fill="0070C0"/>
            <w:noWrap/>
            <w:tcMar>
              <w:top w:w="0" w:type="dxa"/>
              <w:left w:w="70" w:type="dxa"/>
              <w:bottom w:w="0" w:type="dxa"/>
              <w:right w:w="70" w:type="dxa"/>
            </w:tcMar>
            <w:vAlign w:val="bottom"/>
          </w:tcPr>
          <w:p w14:paraId="25CDF702" w14:textId="77777777" w:rsidR="00047A9F" w:rsidRPr="00047A9F" w:rsidRDefault="00047A9F" w:rsidP="008F4532">
            <w:pPr>
              <w:spacing w:after="0" w:line="240" w:lineRule="auto"/>
              <w:rPr>
                <w:rFonts w:eastAsia="Times New Roman" w:cs="Arial"/>
                <w:b/>
                <w:bCs/>
                <w:sz w:val="20"/>
                <w:szCs w:val="20"/>
                <w:lang w:eastAsia="sv-SE"/>
              </w:rPr>
            </w:pPr>
            <w:r w:rsidRPr="00047A9F">
              <w:rPr>
                <w:rFonts w:eastAsia="Times New Roman" w:cs="Arial"/>
                <w:b/>
                <w:bCs/>
                <w:sz w:val="20"/>
                <w:szCs w:val="20"/>
                <w:lang w:eastAsia="sv-SE"/>
              </w:rPr>
              <w:t>Personer som slutat under året:*</w:t>
            </w:r>
          </w:p>
        </w:tc>
        <w:tc>
          <w:tcPr>
            <w:tcW w:w="655" w:type="dxa"/>
            <w:shd w:val="clear" w:color="auto" w:fill="0070C0"/>
            <w:noWrap/>
            <w:tcMar>
              <w:top w:w="0" w:type="dxa"/>
              <w:left w:w="70" w:type="dxa"/>
              <w:bottom w:w="0" w:type="dxa"/>
              <w:right w:w="70" w:type="dxa"/>
            </w:tcMar>
            <w:vAlign w:val="center"/>
          </w:tcPr>
          <w:p w14:paraId="6989C324" w14:textId="3E23AD15" w:rsidR="00047A9F" w:rsidRPr="00047A9F" w:rsidRDefault="00687F56" w:rsidP="008F4532">
            <w:pPr>
              <w:spacing w:after="0" w:line="240" w:lineRule="auto"/>
              <w:rPr>
                <w:rFonts w:eastAsia="Times New Roman" w:cs="Arial"/>
                <w:b/>
                <w:bCs/>
                <w:sz w:val="20"/>
                <w:szCs w:val="20"/>
                <w:lang w:eastAsia="sv-SE"/>
              </w:rPr>
            </w:pPr>
            <w:r>
              <w:rPr>
                <w:rFonts w:eastAsia="Times New Roman" w:cs="Arial"/>
                <w:b/>
                <w:bCs/>
                <w:sz w:val="20"/>
                <w:szCs w:val="20"/>
                <w:lang w:eastAsia="sv-SE"/>
              </w:rPr>
              <w:t>2016</w:t>
            </w:r>
          </w:p>
        </w:tc>
        <w:tc>
          <w:tcPr>
            <w:tcW w:w="709" w:type="dxa"/>
            <w:shd w:val="clear" w:color="auto" w:fill="0070C0"/>
            <w:vAlign w:val="center"/>
          </w:tcPr>
          <w:p w14:paraId="65103DDA" w14:textId="008A878B" w:rsidR="00047A9F" w:rsidRPr="00047A9F" w:rsidRDefault="00687F56" w:rsidP="008F4532">
            <w:pPr>
              <w:spacing w:after="0" w:line="240" w:lineRule="auto"/>
              <w:rPr>
                <w:rFonts w:eastAsia="Times New Roman" w:cs="Arial"/>
                <w:b/>
                <w:bCs/>
                <w:sz w:val="20"/>
                <w:szCs w:val="20"/>
                <w:lang w:eastAsia="sv-SE"/>
              </w:rPr>
            </w:pPr>
            <w:r>
              <w:rPr>
                <w:rFonts w:eastAsia="Times New Roman" w:cs="Arial"/>
                <w:b/>
                <w:bCs/>
                <w:sz w:val="20"/>
                <w:szCs w:val="20"/>
                <w:lang w:eastAsia="sv-SE"/>
              </w:rPr>
              <w:t>2017</w:t>
            </w:r>
          </w:p>
        </w:tc>
        <w:tc>
          <w:tcPr>
            <w:tcW w:w="709" w:type="dxa"/>
            <w:shd w:val="clear" w:color="auto" w:fill="0070C0"/>
            <w:vAlign w:val="center"/>
          </w:tcPr>
          <w:p w14:paraId="3B21C51D" w14:textId="58BA1015" w:rsidR="00047A9F" w:rsidRPr="00047A9F" w:rsidRDefault="00687F56" w:rsidP="008F4532">
            <w:pPr>
              <w:spacing w:after="0" w:line="240" w:lineRule="auto"/>
              <w:rPr>
                <w:rFonts w:eastAsia="Times New Roman" w:cs="Arial"/>
                <w:b/>
                <w:bCs/>
                <w:sz w:val="20"/>
                <w:szCs w:val="20"/>
                <w:lang w:eastAsia="sv-SE"/>
              </w:rPr>
            </w:pPr>
            <w:r>
              <w:rPr>
                <w:rFonts w:eastAsia="Times New Roman" w:cs="Arial"/>
                <w:b/>
                <w:bCs/>
                <w:sz w:val="20"/>
                <w:szCs w:val="20"/>
                <w:lang w:eastAsia="sv-SE"/>
              </w:rPr>
              <w:t>2018</w:t>
            </w:r>
          </w:p>
        </w:tc>
        <w:tc>
          <w:tcPr>
            <w:tcW w:w="567" w:type="dxa"/>
            <w:shd w:val="clear" w:color="auto" w:fill="0070C0"/>
            <w:vAlign w:val="center"/>
          </w:tcPr>
          <w:p w14:paraId="2B5D86CD" w14:textId="488C564F" w:rsidR="00047A9F" w:rsidRPr="00047A9F" w:rsidRDefault="00687F56" w:rsidP="008F4532">
            <w:pPr>
              <w:spacing w:after="0" w:line="240" w:lineRule="auto"/>
              <w:rPr>
                <w:rFonts w:eastAsia="Times New Roman" w:cs="Arial"/>
                <w:b/>
                <w:bCs/>
                <w:sz w:val="20"/>
                <w:szCs w:val="20"/>
                <w:lang w:eastAsia="sv-SE"/>
              </w:rPr>
            </w:pPr>
            <w:r>
              <w:rPr>
                <w:rFonts w:eastAsia="Times New Roman" w:cs="Arial"/>
                <w:b/>
                <w:bCs/>
                <w:sz w:val="20"/>
                <w:szCs w:val="20"/>
                <w:lang w:eastAsia="sv-SE"/>
              </w:rPr>
              <w:t>2019</w:t>
            </w:r>
          </w:p>
        </w:tc>
      </w:tr>
      <w:tr w:rsidR="009A1B16" w:rsidRPr="00047A9F" w14:paraId="7B2886B2" w14:textId="3E094063" w:rsidTr="00822C91">
        <w:trPr>
          <w:trHeight w:val="237"/>
        </w:trPr>
        <w:tc>
          <w:tcPr>
            <w:tcW w:w="2884" w:type="dxa"/>
            <w:noWrap/>
            <w:tcMar>
              <w:top w:w="0" w:type="dxa"/>
              <w:left w:w="70" w:type="dxa"/>
              <w:bottom w:w="0" w:type="dxa"/>
              <w:right w:w="70" w:type="dxa"/>
            </w:tcMar>
            <w:vAlign w:val="bottom"/>
            <w:hideMark/>
          </w:tcPr>
          <w:p w14:paraId="53313D43" w14:textId="77777777" w:rsidR="009A1B16" w:rsidRPr="00047A9F" w:rsidRDefault="009A1B16" w:rsidP="009A1B16">
            <w:pPr>
              <w:spacing w:after="0" w:line="240" w:lineRule="auto"/>
              <w:rPr>
                <w:rFonts w:eastAsia="Times New Roman" w:cs="Arial"/>
                <w:sz w:val="20"/>
                <w:szCs w:val="20"/>
                <w:lang w:eastAsia="sv-SE"/>
              </w:rPr>
            </w:pPr>
            <w:r w:rsidRPr="00047A9F">
              <w:rPr>
                <w:rFonts w:eastAsia="Times New Roman" w:cs="Arial"/>
                <w:sz w:val="20"/>
                <w:szCs w:val="20"/>
                <w:lang w:eastAsia="sv-SE"/>
              </w:rPr>
              <w:t>Kvinnor</w:t>
            </w:r>
          </w:p>
        </w:tc>
        <w:tc>
          <w:tcPr>
            <w:tcW w:w="655" w:type="dxa"/>
            <w:noWrap/>
            <w:tcMar>
              <w:top w:w="0" w:type="dxa"/>
              <w:left w:w="70" w:type="dxa"/>
              <w:bottom w:w="0" w:type="dxa"/>
              <w:right w:w="70" w:type="dxa"/>
            </w:tcMar>
            <w:vAlign w:val="bottom"/>
          </w:tcPr>
          <w:p w14:paraId="2308283B" w14:textId="548AF714" w:rsidR="009A1B16" w:rsidRPr="00047A9F" w:rsidRDefault="009A1B16" w:rsidP="009A1B16">
            <w:pPr>
              <w:spacing w:after="0" w:line="240" w:lineRule="auto"/>
              <w:jc w:val="center"/>
              <w:rPr>
                <w:rFonts w:eastAsia="Times New Roman" w:cs="Arial"/>
                <w:sz w:val="20"/>
                <w:szCs w:val="20"/>
                <w:lang w:eastAsia="sv-SE"/>
              </w:rPr>
            </w:pPr>
            <w:r w:rsidRPr="00047A9F">
              <w:rPr>
                <w:rFonts w:ascii="Calibri" w:hAnsi="Calibri"/>
                <w:color w:val="000000"/>
                <w:sz w:val="20"/>
                <w:szCs w:val="20"/>
              </w:rPr>
              <w:t>1</w:t>
            </w:r>
          </w:p>
        </w:tc>
        <w:tc>
          <w:tcPr>
            <w:tcW w:w="709" w:type="dxa"/>
            <w:vAlign w:val="bottom"/>
          </w:tcPr>
          <w:p w14:paraId="0AFC20B3" w14:textId="741A5D01" w:rsidR="009A1B16" w:rsidRPr="00047A9F" w:rsidRDefault="009A1B16" w:rsidP="009A1B16">
            <w:pPr>
              <w:spacing w:after="0" w:line="240" w:lineRule="auto"/>
              <w:jc w:val="center"/>
              <w:rPr>
                <w:rFonts w:ascii="Calibri" w:hAnsi="Calibri"/>
                <w:color w:val="000000"/>
                <w:sz w:val="20"/>
                <w:szCs w:val="20"/>
              </w:rPr>
            </w:pPr>
            <w:r>
              <w:rPr>
                <w:rFonts w:ascii="Calibri" w:hAnsi="Calibri"/>
                <w:color w:val="000000"/>
                <w:sz w:val="20"/>
                <w:szCs w:val="20"/>
              </w:rPr>
              <w:t>1</w:t>
            </w:r>
          </w:p>
        </w:tc>
        <w:tc>
          <w:tcPr>
            <w:tcW w:w="709" w:type="dxa"/>
          </w:tcPr>
          <w:p w14:paraId="057F2E86" w14:textId="7371FAAD" w:rsidR="009A1B16" w:rsidRPr="00047A9F" w:rsidRDefault="009A1B16" w:rsidP="009A1B16">
            <w:pPr>
              <w:spacing w:after="0" w:line="240" w:lineRule="auto"/>
              <w:jc w:val="center"/>
              <w:rPr>
                <w:rFonts w:ascii="Calibri" w:hAnsi="Calibri"/>
                <w:color w:val="000000"/>
                <w:sz w:val="20"/>
                <w:szCs w:val="20"/>
              </w:rPr>
            </w:pPr>
            <w:r>
              <w:rPr>
                <w:rFonts w:ascii="Calibri" w:hAnsi="Calibri"/>
                <w:color w:val="000000"/>
                <w:sz w:val="20"/>
                <w:szCs w:val="20"/>
              </w:rPr>
              <w:t>2</w:t>
            </w:r>
          </w:p>
        </w:tc>
        <w:tc>
          <w:tcPr>
            <w:tcW w:w="567" w:type="dxa"/>
            <w:vAlign w:val="center"/>
          </w:tcPr>
          <w:p w14:paraId="03F7EE9C" w14:textId="073DCB7E" w:rsidR="009A1B16" w:rsidRPr="009A1B16" w:rsidRDefault="009A1B16" w:rsidP="009A1B16">
            <w:pPr>
              <w:tabs>
                <w:tab w:val="left" w:pos="436"/>
              </w:tabs>
              <w:spacing w:after="0" w:line="240" w:lineRule="auto"/>
              <w:jc w:val="center"/>
              <w:rPr>
                <w:rFonts w:ascii="Calibri" w:hAnsi="Calibri"/>
                <w:color w:val="000000" w:themeColor="text1"/>
                <w:sz w:val="20"/>
                <w:szCs w:val="20"/>
              </w:rPr>
            </w:pPr>
            <w:r w:rsidRPr="009A1B16">
              <w:rPr>
                <w:color w:val="000000" w:themeColor="text1"/>
                <w:sz w:val="20"/>
                <w:szCs w:val="20"/>
              </w:rPr>
              <w:t> 2</w:t>
            </w:r>
          </w:p>
        </w:tc>
      </w:tr>
      <w:tr w:rsidR="009A1B16" w:rsidRPr="00047A9F" w14:paraId="433DAB1D" w14:textId="59898593" w:rsidTr="00822C91">
        <w:trPr>
          <w:trHeight w:val="269"/>
        </w:trPr>
        <w:tc>
          <w:tcPr>
            <w:tcW w:w="2884" w:type="dxa"/>
            <w:noWrap/>
            <w:tcMar>
              <w:top w:w="0" w:type="dxa"/>
              <w:left w:w="70" w:type="dxa"/>
              <w:bottom w:w="0" w:type="dxa"/>
              <w:right w:w="70" w:type="dxa"/>
            </w:tcMar>
            <w:vAlign w:val="bottom"/>
            <w:hideMark/>
          </w:tcPr>
          <w:p w14:paraId="5CC44775" w14:textId="77777777" w:rsidR="009A1B16" w:rsidRPr="00047A9F" w:rsidRDefault="009A1B16" w:rsidP="009A1B16">
            <w:pPr>
              <w:spacing w:after="0" w:line="240" w:lineRule="auto"/>
              <w:rPr>
                <w:rFonts w:eastAsia="Times New Roman" w:cs="Arial"/>
                <w:sz w:val="20"/>
                <w:szCs w:val="20"/>
                <w:lang w:eastAsia="sv-SE"/>
              </w:rPr>
            </w:pPr>
            <w:r w:rsidRPr="00047A9F">
              <w:rPr>
                <w:rFonts w:eastAsia="Times New Roman" w:cs="Arial"/>
                <w:sz w:val="20"/>
                <w:szCs w:val="20"/>
                <w:lang w:eastAsia="sv-SE"/>
              </w:rPr>
              <w:t>Män</w:t>
            </w:r>
          </w:p>
        </w:tc>
        <w:tc>
          <w:tcPr>
            <w:tcW w:w="655" w:type="dxa"/>
            <w:noWrap/>
            <w:tcMar>
              <w:top w:w="0" w:type="dxa"/>
              <w:left w:w="70" w:type="dxa"/>
              <w:bottom w:w="0" w:type="dxa"/>
              <w:right w:w="70" w:type="dxa"/>
            </w:tcMar>
            <w:vAlign w:val="bottom"/>
          </w:tcPr>
          <w:p w14:paraId="70F649D0" w14:textId="7235981C" w:rsidR="009A1B16" w:rsidRPr="00047A9F" w:rsidRDefault="009A1B16" w:rsidP="009A1B16">
            <w:pPr>
              <w:spacing w:after="0" w:line="240" w:lineRule="auto"/>
              <w:jc w:val="center"/>
              <w:rPr>
                <w:rFonts w:eastAsia="Times New Roman" w:cs="Arial"/>
                <w:sz w:val="20"/>
                <w:szCs w:val="20"/>
                <w:lang w:eastAsia="sv-SE"/>
              </w:rPr>
            </w:pPr>
            <w:r w:rsidRPr="00047A9F">
              <w:rPr>
                <w:rFonts w:ascii="Calibri" w:hAnsi="Calibri"/>
                <w:color w:val="000000"/>
                <w:sz w:val="20"/>
                <w:szCs w:val="20"/>
              </w:rPr>
              <w:t>1</w:t>
            </w:r>
          </w:p>
        </w:tc>
        <w:tc>
          <w:tcPr>
            <w:tcW w:w="709" w:type="dxa"/>
            <w:vAlign w:val="bottom"/>
          </w:tcPr>
          <w:p w14:paraId="337AA97F" w14:textId="6AFB14BE" w:rsidR="009A1B16" w:rsidRPr="00047A9F" w:rsidRDefault="009A1B16" w:rsidP="009A1B16">
            <w:pPr>
              <w:spacing w:after="0" w:line="240" w:lineRule="auto"/>
              <w:jc w:val="center"/>
              <w:rPr>
                <w:rFonts w:ascii="Calibri" w:hAnsi="Calibri"/>
                <w:color w:val="000000"/>
                <w:sz w:val="20"/>
                <w:szCs w:val="20"/>
              </w:rPr>
            </w:pPr>
            <w:r>
              <w:rPr>
                <w:rFonts w:ascii="Calibri" w:hAnsi="Calibri"/>
                <w:color w:val="000000"/>
                <w:sz w:val="20"/>
                <w:szCs w:val="20"/>
              </w:rPr>
              <w:t>1</w:t>
            </w:r>
          </w:p>
        </w:tc>
        <w:tc>
          <w:tcPr>
            <w:tcW w:w="709" w:type="dxa"/>
          </w:tcPr>
          <w:p w14:paraId="03C54D93" w14:textId="76AAB59B" w:rsidR="009A1B16" w:rsidRPr="00047A9F" w:rsidRDefault="009A1B16" w:rsidP="009A1B16">
            <w:pPr>
              <w:spacing w:after="0" w:line="240" w:lineRule="auto"/>
              <w:jc w:val="center"/>
              <w:rPr>
                <w:rFonts w:ascii="Calibri" w:hAnsi="Calibri"/>
                <w:color w:val="000000"/>
                <w:sz w:val="20"/>
                <w:szCs w:val="20"/>
              </w:rPr>
            </w:pPr>
            <w:r>
              <w:rPr>
                <w:rFonts w:ascii="Calibri" w:hAnsi="Calibri"/>
                <w:color w:val="000000"/>
                <w:sz w:val="20"/>
                <w:szCs w:val="20"/>
              </w:rPr>
              <w:t>2</w:t>
            </w:r>
          </w:p>
        </w:tc>
        <w:tc>
          <w:tcPr>
            <w:tcW w:w="567" w:type="dxa"/>
            <w:vAlign w:val="center"/>
          </w:tcPr>
          <w:p w14:paraId="0BD64D5E" w14:textId="68B4604F" w:rsidR="009A1B16" w:rsidRPr="009A1B16" w:rsidRDefault="009A1B16" w:rsidP="009A1B16">
            <w:pPr>
              <w:tabs>
                <w:tab w:val="left" w:pos="436"/>
              </w:tabs>
              <w:spacing w:after="0" w:line="240" w:lineRule="auto"/>
              <w:jc w:val="center"/>
              <w:rPr>
                <w:rFonts w:ascii="Calibri" w:hAnsi="Calibri"/>
                <w:color w:val="000000" w:themeColor="text1"/>
                <w:sz w:val="20"/>
                <w:szCs w:val="20"/>
              </w:rPr>
            </w:pPr>
            <w:r w:rsidRPr="009A1B16">
              <w:rPr>
                <w:color w:val="000000" w:themeColor="text1"/>
                <w:sz w:val="20"/>
                <w:szCs w:val="20"/>
              </w:rPr>
              <w:t> 0</w:t>
            </w:r>
          </w:p>
        </w:tc>
      </w:tr>
      <w:tr w:rsidR="009A1B16" w:rsidRPr="00047A9F" w14:paraId="3AC62441" w14:textId="3762D761" w:rsidTr="00822C91">
        <w:trPr>
          <w:trHeight w:val="259"/>
        </w:trPr>
        <w:tc>
          <w:tcPr>
            <w:tcW w:w="2884" w:type="dxa"/>
            <w:noWrap/>
            <w:tcMar>
              <w:top w:w="0" w:type="dxa"/>
              <w:left w:w="70" w:type="dxa"/>
              <w:bottom w:w="0" w:type="dxa"/>
              <w:right w:w="70" w:type="dxa"/>
            </w:tcMar>
            <w:vAlign w:val="bottom"/>
            <w:hideMark/>
          </w:tcPr>
          <w:p w14:paraId="2FDA3F8B" w14:textId="77777777" w:rsidR="009A1B16" w:rsidRPr="00047A9F" w:rsidRDefault="009A1B16" w:rsidP="009A1B16">
            <w:pPr>
              <w:spacing w:after="0" w:line="240" w:lineRule="auto"/>
              <w:rPr>
                <w:rFonts w:eastAsia="Times New Roman" w:cs="Arial"/>
                <w:sz w:val="20"/>
                <w:szCs w:val="20"/>
                <w:lang w:eastAsia="sv-SE"/>
              </w:rPr>
            </w:pPr>
            <w:r w:rsidRPr="00047A9F">
              <w:rPr>
                <w:rFonts w:eastAsia="Times New Roman" w:cs="Arial"/>
                <w:sz w:val="20"/>
                <w:szCs w:val="20"/>
                <w:lang w:eastAsia="sv-SE"/>
              </w:rPr>
              <w:t>Tot</w:t>
            </w:r>
          </w:p>
        </w:tc>
        <w:tc>
          <w:tcPr>
            <w:tcW w:w="655" w:type="dxa"/>
            <w:noWrap/>
            <w:tcMar>
              <w:top w:w="0" w:type="dxa"/>
              <w:left w:w="70" w:type="dxa"/>
              <w:bottom w:w="0" w:type="dxa"/>
              <w:right w:w="70" w:type="dxa"/>
            </w:tcMar>
            <w:vAlign w:val="bottom"/>
          </w:tcPr>
          <w:p w14:paraId="62C48053" w14:textId="0D196A9A" w:rsidR="009A1B16" w:rsidRPr="00047A9F" w:rsidRDefault="009A1B16" w:rsidP="009A1B16">
            <w:pPr>
              <w:spacing w:after="0" w:line="240" w:lineRule="auto"/>
              <w:jc w:val="center"/>
              <w:rPr>
                <w:rFonts w:eastAsia="Times New Roman" w:cs="Arial"/>
                <w:sz w:val="20"/>
                <w:szCs w:val="20"/>
                <w:lang w:eastAsia="sv-SE"/>
              </w:rPr>
            </w:pPr>
            <w:r w:rsidRPr="00047A9F">
              <w:rPr>
                <w:rFonts w:ascii="Calibri" w:hAnsi="Calibri"/>
                <w:color w:val="000000"/>
                <w:sz w:val="20"/>
                <w:szCs w:val="20"/>
              </w:rPr>
              <w:t>2</w:t>
            </w:r>
          </w:p>
        </w:tc>
        <w:tc>
          <w:tcPr>
            <w:tcW w:w="709" w:type="dxa"/>
            <w:vAlign w:val="bottom"/>
          </w:tcPr>
          <w:p w14:paraId="277BDF46" w14:textId="3D57A1A7" w:rsidR="009A1B16" w:rsidRPr="00047A9F" w:rsidRDefault="009A1B16" w:rsidP="009A1B16">
            <w:pPr>
              <w:spacing w:after="0" w:line="240" w:lineRule="auto"/>
              <w:jc w:val="center"/>
              <w:rPr>
                <w:rFonts w:ascii="Calibri" w:hAnsi="Calibri"/>
                <w:color w:val="000000"/>
                <w:sz w:val="20"/>
                <w:szCs w:val="20"/>
              </w:rPr>
            </w:pPr>
            <w:r>
              <w:rPr>
                <w:rFonts w:ascii="Calibri" w:hAnsi="Calibri"/>
                <w:color w:val="000000"/>
                <w:sz w:val="20"/>
                <w:szCs w:val="20"/>
              </w:rPr>
              <w:t>2</w:t>
            </w:r>
          </w:p>
        </w:tc>
        <w:tc>
          <w:tcPr>
            <w:tcW w:w="709" w:type="dxa"/>
          </w:tcPr>
          <w:p w14:paraId="56314237" w14:textId="0E05F7C5" w:rsidR="009A1B16" w:rsidRPr="00047A9F" w:rsidRDefault="009A1B16" w:rsidP="009A1B16">
            <w:pPr>
              <w:spacing w:after="0" w:line="240" w:lineRule="auto"/>
              <w:jc w:val="center"/>
              <w:rPr>
                <w:rFonts w:ascii="Calibri" w:hAnsi="Calibri"/>
                <w:color w:val="000000"/>
                <w:sz w:val="20"/>
                <w:szCs w:val="20"/>
              </w:rPr>
            </w:pPr>
            <w:r>
              <w:rPr>
                <w:rFonts w:ascii="Calibri" w:hAnsi="Calibri"/>
                <w:color w:val="000000"/>
                <w:sz w:val="20"/>
                <w:szCs w:val="20"/>
              </w:rPr>
              <w:t>4</w:t>
            </w:r>
          </w:p>
        </w:tc>
        <w:tc>
          <w:tcPr>
            <w:tcW w:w="567" w:type="dxa"/>
            <w:vAlign w:val="center"/>
          </w:tcPr>
          <w:p w14:paraId="65ED81F9" w14:textId="6ADFB819" w:rsidR="009A1B16" w:rsidRPr="009A1B16" w:rsidRDefault="009A1B16" w:rsidP="009A1B16">
            <w:pPr>
              <w:tabs>
                <w:tab w:val="left" w:pos="447"/>
              </w:tabs>
              <w:spacing w:after="0" w:line="240" w:lineRule="auto"/>
              <w:jc w:val="center"/>
              <w:rPr>
                <w:rFonts w:ascii="Calibri" w:hAnsi="Calibri"/>
                <w:color w:val="000000" w:themeColor="text1"/>
                <w:sz w:val="20"/>
                <w:szCs w:val="20"/>
              </w:rPr>
            </w:pPr>
            <w:r w:rsidRPr="009A1B16">
              <w:rPr>
                <w:color w:val="000000" w:themeColor="text1"/>
                <w:sz w:val="20"/>
                <w:szCs w:val="20"/>
              </w:rPr>
              <w:t> 2</w:t>
            </w:r>
          </w:p>
        </w:tc>
      </w:tr>
      <w:tr w:rsidR="009A1B16" w:rsidRPr="00047A9F" w14:paraId="3CD0F77B" w14:textId="63A01036" w:rsidTr="00822C91">
        <w:trPr>
          <w:trHeight w:val="300"/>
        </w:trPr>
        <w:tc>
          <w:tcPr>
            <w:tcW w:w="2884" w:type="dxa"/>
            <w:noWrap/>
            <w:tcMar>
              <w:top w:w="0" w:type="dxa"/>
              <w:left w:w="70" w:type="dxa"/>
              <w:bottom w:w="0" w:type="dxa"/>
              <w:right w:w="70" w:type="dxa"/>
            </w:tcMar>
            <w:vAlign w:val="bottom"/>
            <w:hideMark/>
          </w:tcPr>
          <w:p w14:paraId="5E699725" w14:textId="77777777" w:rsidR="009A1B16" w:rsidRPr="00047A9F" w:rsidRDefault="009A1B16" w:rsidP="009A1B16">
            <w:pPr>
              <w:spacing w:after="0" w:line="240" w:lineRule="auto"/>
              <w:rPr>
                <w:rFonts w:eastAsia="Times New Roman" w:cs="Arial"/>
                <w:sz w:val="20"/>
                <w:szCs w:val="20"/>
                <w:lang w:eastAsia="sv-SE"/>
              </w:rPr>
            </w:pPr>
            <w:r w:rsidRPr="00047A9F">
              <w:rPr>
                <w:rFonts w:eastAsia="Times New Roman" w:cs="Arial"/>
                <w:sz w:val="20"/>
                <w:szCs w:val="20"/>
                <w:lang w:eastAsia="sv-SE"/>
              </w:rPr>
              <w:t>Personalomsättning</w:t>
            </w:r>
          </w:p>
        </w:tc>
        <w:tc>
          <w:tcPr>
            <w:tcW w:w="655" w:type="dxa"/>
            <w:noWrap/>
            <w:tcMar>
              <w:top w:w="0" w:type="dxa"/>
              <w:left w:w="70" w:type="dxa"/>
              <w:bottom w:w="0" w:type="dxa"/>
              <w:right w:w="70" w:type="dxa"/>
            </w:tcMar>
            <w:vAlign w:val="center"/>
          </w:tcPr>
          <w:p w14:paraId="13D855DD" w14:textId="231B5650" w:rsidR="009A1B16" w:rsidRPr="00047A9F" w:rsidRDefault="009A1B16" w:rsidP="009A1B16">
            <w:pPr>
              <w:spacing w:after="0" w:line="240" w:lineRule="auto"/>
              <w:jc w:val="center"/>
              <w:rPr>
                <w:rFonts w:eastAsia="Times New Roman" w:cs="Arial"/>
                <w:sz w:val="20"/>
                <w:szCs w:val="20"/>
                <w:lang w:eastAsia="sv-SE"/>
              </w:rPr>
            </w:pPr>
            <w:r w:rsidRPr="00047A9F">
              <w:rPr>
                <w:rFonts w:ascii="Calibri" w:hAnsi="Calibri"/>
                <w:color w:val="000000"/>
                <w:sz w:val="20"/>
                <w:szCs w:val="20"/>
              </w:rPr>
              <w:t>12,9%</w:t>
            </w:r>
          </w:p>
        </w:tc>
        <w:tc>
          <w:tcPr>
            <w:tcW w:w="709" w:type="dxa"/>
            <w:vAlign w:val="center"/>
          </w:tcPr>
          <w:p w14:paraId="6D62B694" w14:textId="054DF843" w:rsidR="009A1B16" w:rsidRPr="00047A9F" w:rsidRDefault="009A1B16" w:rsidP="009A1B16">
            <w:pPr>
              <w:spacing w:after="0" w:line="240" w:lineRule="auto"/>
              <w:jc w:val="center"/>
              <w:rPr>
                <w:rFonts w:ascii="Calibri" w:hAnsi="Calibri"/>
                <w:color w:val="000000"/>
                <w:sz w:val="20"/>
                <w:szCs w:val="20"/>
              </w:rPr>
            </w:pPr>
            <w:r>
              <w:rPr>
                <w:rFonts w:ascii="Calibri" w:hAnsi="Calibri"/>
                <w:color w:val="000000"/>
                <w:sz w:val="20"/>
                <w:szCs w:val="20"/>
              </w:rPr>
              <w:t>12,9%</w:t>
            </w:r>
          </w:p>
        </w:tc>
        <w:tc>
          <w:tcPr>
            <w:tcW w:w="709" w:type="dxa"/>
            <w:vAlign w:val="center"/>
          </w:tcPr>
          <w:p w14:paraId="7F034DEA" w14:textId="12769F80" w:rsidR="009A1B16" w:rsidRPr="00047A9F" w:rsidRDefault="009A1B16" w:rsidP="009A1B16">
            <w:pPr>
              <w:spacing w:after="0" w:line="240" w:lineRule="auto"/>
              <w:jc w:val="center"/>
              <w:rPr>
                <w:rFonts w:ascii="Calibri" w:hAnsi="Calibri"/>
                <w:color w:val="000000"/>
                <w:sz w:val="20"/>
                <w:szCs w:val="20"/>
              </w:rPr>
            </w:pPr>
            <w:r>
              <w:rPr>
                <w:rFonts w:ascii="Calibri" w:hAnsi="Calibri"/>
                <w:color w:val="000000"/>
                <w:sz w:val="20"/>
                <w:szCs w:val="20"/>
              </w:rPr>
              <w:t>25</w:t>
            </w:r>
            <w:r w:rsidRPr="00047A9F">
              <w:rPr>
                <w:rFonts w:ascii="Calibri" w:hAnsi="Calibri"/>
                <w:color w:val="000000"/>
                <w:sz w:val="20"/>
                <w:szCs w:val="20"/>
              </w:rPr>
              <w:t>%</w:t>
            </w:r>
          </w:p>
        </w:tc>
        <w:tc>
          <w:tcPr>
            <w:tcW w:w="567" w:type="dxa"/>
            <w:vAlign w:val="center"/>
          </w:tcPr>
          <w:p w14:paraId="0E9AD0E5" w14:textId="23A68B86" w:rsidR="009A1B16" w:rsidRPr="009A1B16" w:rsidRDefault="009A1B16" w:rsidP="009A1B16">
            <w:pPr>
              <w:tabs>
                <w:tab w:val="left" w:pos="425"/>
              </w:tabs>
              <w:spacing w:after="0" w:line="240" w:lineRule="auto"/>
              <w:jc w:val="center"/>
              <w:rPr>
                <w:rFonts w:ascii="Calibri" w:hAnsi="Calibri"/>
                <w:color w:val="000000" w:themeColor="text1"/>
                <w:sz w:val="20"/>
                <w:szCs w:val="20"/>
              </w:rPr>
            </w:pPr>
            <w:r w:rsidRPr="009A1B16">
              <w:rPr>
                <w:color w:val="000000" w:themeColor="text1"/>
                <w:sz w:val="20"/>
                <w:szCs w:val="20"/>
              </w:rPr>
              <w:t> 11,1%</w:t>
            </w:r>
          </w:p>
        </w:tc>
      </w:tr>
    </w:tbl>
    <w:p w14:paraId="37B2EBB2" w14:textId="0F220B9C" w:rsidR="00D263E0" w:rsidRPr="00EA6971" w:rsidRDefault="00D263E0" w:rsidP="00EF3252">
      <w:pPr>
        <w:ind w:left="360"/>
        <w:rPr>
          <w:color w:val="000000" w:themeColor="text1"/>
          <w:sz w:val="20"/>
          <w:szCs w:val="20"/>
        </w:rPr>
      </w:pPr>
      <w:r w:rsidRPr="00047A9F">
        <w:rPr>
          <w:color w:val="000000" w:themeColor="text1"/>
          <w:sz w:val="20"/>
          <w:szCs w:val="20"/>
        </w:rPr>
        <w:t>*Räknas på antal tillsvidareanställda</w:t>
      </w:r>
    </w:p>
    <w:p w14:paraId="6326FD9A" w14:textId="77777777" w:rsidR="00687F56" w:rsidRDefault="009175AC" w:rsidP="009175AC">
      <w:pPr>
        <w:ind w:left="360"/>
        <w:rPr>
          <w:rFonts w:ascii="Arial" w:eastAsia="Times New Roman" w:hAnsi="Arial" w:cs="Arial"/>
          <w:b/>
          <w:bCs/>
          <w:sz w:val="18"/>
          <w:szCs w:val="18"/>
          <w:lang w:eastAsia="sv-SE"/>
        </w:rPr>
      </w:pPr>
      <w:r w:rsidRPr="00EA6971">
        <w:rPr>
          <w:rFonts w:ascii="Arial" w:eastAsia="Times New Roman" w:hAnsi="Arial" w:cs="Arial"/>
          <w:b/>
          <w:bCs/>
          <w:sz w:val="18"/>
          <w:szCs w:val="18"/>
          <w:lang w:eastAsia="sv-SE"/>
        </w:rPr>
        <w:lastRenderedPageBreak/>
        <w:t xml:space="preserve"> </w:t>
      </w:r>
    </w:p>
    <w:p w14:paraId="509EDBE5" w14:textId="29011983" w:rsidR="001A191B" w:rsidRDefault="001A191B" w:rsidP="001A191B">
      <w:pPr>
        <w:ind w:left="360"/>
        <w:rPr>
          <w:rFonts w:ascii="Arial" w:eastAsia="Times New Roman" w:hAnsi="Arial" w:cs="Arial"/>
          <w:b/>
          <w:bCs/>
          <w:sz w:val="18"/>
          <w:szCs w:val="18"/>
          <w:lang w:eastAsia="sv-SE"/>
        </w:rPr>
      </w:pPr>
      <w:r>
        <w:rPr>
          <w:rFonts w:eastAsia="Times New Roman" w:cs="Arial"/>
          <w:b/>
          <w:bCs/>
          <w:sz w:val="20"/>
          <w:szCs w:val="20"/>
          <w:lang w:eastAsia="sv-SE"/>
        </w:rPr>
        <w:t>Ål</w:t>
      </w:r>
      <w:r>
        <w:rPr>
          <w:rFonts w:ascii="Arial" w:eastAsia="Times New Roman" w:hAnsi="Arial" w:cs="Arial"/>
          <w:b/>
          <w:bCs/>
          <w:sz w:val="18"/>
          <w:szCs w:val="18"/>
          <w:lang w:eastAsia="sv-SE"/>
        </w:rPr>
        <w:t>dersfördelning på Hertz</w:t>
      </w:r>
    </w:p>
    <w:p w14:paraId="7966CC3C" w14:textId="315758CA" w:rsidR="001A191B" w:rsidRDefault="00A4300F" w:rsidP="001A191B">
      <w:pPr>
        <w:ind w:left="360"/>
        <w:rPr>
          <w:noProof/>
          <w:lang w:eastAsia="sv-SE"/>
        </w:rPr>
      </w:pPr>
      <w:r>
        <w:rPr>
          <w:noProof/>
          <w:lang w:eastAsia="sv-SE"/>
        </w:rPr>
        <w:drawing>
          <wp:inline distT="0" distB="0" distL="0" distR="0" wp14:anchorId="7EF619EA" wp14:editId="5F6FA520">
            <wp:extent cx="4892040" cy="1287780"/>
            <wp:effectExtent l="0" t="0" r="3810" b="762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A308AA" w14:textId="0DB65FC2" w:rsidR="001A191B" w:rsidRDefault="001A191B" w:rsidP="001A191B">
      <w:pPr>
        <w:ind w:left="360"/>
        <w:rPr>
          <w:noProof/>
          <w:lang w:eastAsia="sv-SE"/>
        </w:rPr>
      </w:pPr>
    </w:p>
    <w:p w14:paraId="4C901EF9" w14:textId="77777777" w:rsidR="001A191B" w:rsidRDefault="001A191B" w:rsidP="001A191B">
      <w:pPr>
        <w:ind w:left="360"/>
        <w:rPr>
          <w:rFonts w:ascii="Arial" w:eastAsia="Times New Roman" w:hAnsi="Arial" w:cs="Arial"/>
          <w:b/>
          <w:bCs/>
          <w:sz w:val="18"/>
          <w:szCs w:val="18"/>
          <w:lang w:eastAsia="sv-SE"/>
        </w:rPr>
      </w:pPr>
      <w:r>
        <w:rPr>
          <w:rFonts w:ascii="Arial" w:eastAsia="Times New Roman" w:hAnsi="Arial" w:cs="Arial"/>
          <w:b/>
          <w:bCs/>
          <w:sz w:val="18"/>
          <w:szCs w:val="18"/>
          <w:lang w:eastAsia="sv-SE"/>
        </w:rPr>
        <w:t>Åldersfördelning på Bilreda</w:t>
      </w:r>
    </w:p>
    <w:p w14:paraId="50011FA8" w14:textId="5C0B4BC1" w:rsidR="001A191B" w:rsidRDefault="00A4300F" w:rsidP="001A191B">
      <w:pPr>
        <w:ind w:left="360"/>
        <w:rPr>
          <w:noProof/>
          <w:lang w:eastAsia="sv-SE"/>
        </w:rPr>
      </w:pPr>
      <w:r>
        <w:rPr>
          <w:noProof/>
          <w:lang w:eastAsia="sv-SE"/>
        </w:rPr>
        <w:drawing>
          <wp:inline distT="0" distB="0" distL="0" distR="0" wp14:anchorId="386613DD" wp14:editId="0AE329D2">
            <wp:extent cx="4823460" cy="1440180"/>
            <wp:effectExtent l="0" t="0" r="15240" b="762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EB3C1F" w14:textId="28845B16" w:rsidR="001A191B" w:rsidRDefault="001A191B" w:rsidP="001A191B">
      <w:pPr>
        <w:ind w:left="360"/>
        <w:rPr>
          <w:noProof/>
          <w:lang w:eastAsia="sv-SE"/>
        </w:rPr>
      </w:pPr>
    </w:p>
    <w:p w14:paraId="74B4EA9E" w14:textId="77777777" w:rsidR="009A1B16" w:rsidRDefault="009A1B16" w:rsidP="009A1B16">
      <w:pPr>
        <w:ind w:left="426"/>
      </w:pPr>
      <w:r>
        <w:rPr>
          <w:lang w:eastAsia="sv-SE"/>
        </w:rPr>
        <w:t xml:space="preserve">Vi genomförde en medarbetarundersökning under </w:t>
      </w:r>
      <w:r w:rsidRPr="008D7E22">
        <w:rPr>
          <w:color w:val="000000" w:themeColor="text1"/>
          <w:lang w:eastAsia="sv-SE"/>
        </w:rPr>
        <w:t xml:space="preserve">2019 för </w:t>
      </w:r>
      <w:r>
        <w:rPr>
          <w:lang w:eastAsia="sv-SE"/>
        </w:rPr>
        <w:t>Hertz och Bilreda. Undersökningen mäter en rad olika områden som mynnar ut i medarbetarnas engagemang i form av arbetsglädje och lojalitet. Hertz ökade avseende arbetsglädje och lojalitet men där Bilreda backade från föregående år. Under vintern 2019/2020 har vi på Hertz och Bilreda arbetat med resultatet av medarbetarundersökningen och några prioriteringsområden för att arbeta med ständiga förbättringar.</w:t>
      </w:r>
    </w:p>
    <w:tbl>
      <w:tblPr>
        <w:tblW w:w="6409" w:type="dxa"/>
        <w:tblInd w:w="392" w:type="dxa"/>
        <w:tblLayout w:type="fixed"/>
        <w:tblCellMar>
          <w:left w:w="0" w:type="dxa"/>
          <w:right w:w="0" w:type="dxa"/>
        </w:tblCellMar>
        <w:tblLook w:val="04A0" w:firstRow="1" w:lastRow="0" w:firstColumn="1" w:lastColumn="0" w:noHBand="0" w:noVBand="1"/>
      </w:tblPr>
      <w:tblGrid>
        <w:gridCol w:w="1736"/>
        <w:gridCol w:w="424"/>
        <w:gridCol w:w="425"/>
        <w:gridCol w:w="425"/>
        <w:gridCol w:w="425"/>
        <w:gridCol w:w="426"/>
        <w:gridCol w:w="425"/>
        <w:gridCol w:w="425"/>
        <w:gridCol w:w="426"/>
        <w:gridCol w:w="1272"/>
      </w:tblGrid>
      <w:tr w:rsidR="007C7A8F" w:rsidRPr="00FD5672" w14:paraId="7ACF32E2" w14:textId="77777777" w:rsidTr="007C7A8F">
        <w:trPr>
          <w:trHeight w:val="315"/>
        </w:trPr>
        <w:tc>
          <w:tcPr>
            <w:tcW w:w="1736" w:type="dxa"/>
            <w:noWrap/>
            <w:tcMar>
              <w:top w:w="0" w:type="dxa"/>
              <w:left w:w="70" w:type="dxa"/>
              <w:bottom w:w="0" w:type="dxa"/>
              <w:right w:w="70" w:type="dxa"/>
            </w:tcMar>
            <w:vAlign w:val="bottom"/>
            <w:hideMark/>
          </w:tcPr>
          <w:p w14:paraId="51A523BD" w14:textId="77777777" w:rsidR="007C7A8F" w:rsidRPr="00FD5672" w:rsidRDefault="007C7A8F">
            <w:pPr>
              <w:rPr>
                <w:highlight w:val="yellow"/>
              </w:rPr>
            </w:pPr>
          </w:p>
        </w:tc>
        <w:tc>
          <w:tcPr>
            <w:tcW w:w="424" w:type="dxa"/>
            <w:noWrap/>
            <w:tcMar>
              <w:top w:w="0" w:type="dxa"/>
              <w:left w:w="70" w:type="dxa"/>
              <w:bottom w:w="0" w:type="dxa"/>
              <w:right w:w="70" w:type="dxa"/>
            </w:tcMar>
            <w:vAlign w:val="bottom"/>
          </w:tcPr>
          <w:p w14:paraId="4758DF27" w14:textId="77777777" w:rsidR="007C7A8F" w:rsidRPr="00FD5672" w:rsidRDefault="007C7A8F">
            <w:pPr>
              <w:jc w:val="right"/>
              <w:rPr>
                <w:rFonts w:ascii="Calibri" w:hAnsi="Calibri"/>
                <w:color w:val="000000"/>
                <w:highlight w:val="yellow"/>
                <w:lang w:eastAsia="sv-SE"/>
              </w:rPr>
            </w:pPr>
          </w:p>
        </w:tc>
        <w:tc>
          <w:tcPr>
            <w:tcW w:w="425" w:type="dxa"/>
          </w:tcPr>
          <w:p w14:paraId="124740B9" w14:textId="77777777" w:rsidR="007C7A8F" w:rsidRPr="00FD5672" w:rsidRDefault="007C7A8F">
            <w:pPr>
              <w:rPr>
                <w:color w:val="000000"/>
                <w:highlight w:val="yellow"/>
                <w:lang w:eastAsia="sv-SE"/>
              </w:rPr>
            </w:pPr>
          </w:p>
        </w:tc>
        <w:tc>
          <w:tcPr>
            <w:tcW w:w="425" w:type="dxa"/>
          </w:tcPr>
          <w:p w14:paraId="3775BEAC" w14:textId="2232CF4B" w:rsidR="007C7A8F" w:rsidRPr="00FD5672" w:rsidRDefault="007C7A8F">
            <w:pPr>
              <w:rPr>
                <w:color w:val="000000"/>
                <w:highlight w:val="yellow"/>
                <w:lang w:eastAsia="sv-SE"/>
              </w:rPr>
            </w:pPr>
          </w:p>
        </w:tc>
        <w:tc>
          <w:tcPr>
            <w:tcW w:w="425" w:type="dxa"/>
            <w:noWrap/>
            <w:tcMar>
              <w:top w:w="0" w:type="dxa"/>
              <w:left w:w="70" w:type="dxa"/>
              <w:bottom w:w="0" w:type="dxa"/>
              <w:right w:w="70" w:type="dxa"/>
            </w:tcMar>
            <w:vAlign w:val="bottom"/>
          </w:tcPr>
          <w:p w14:paraId="3B20AEB7" w14:textId="77777777" w:rsidR="007C7A8F" w:rsidRPr="00FD5672" w:rsidRDefault="007C7A8F">
            <w:pPr>
              <w:rPr>
                <w:color w:val="000000"/>
                <w:highlight w:val="yellow"/>
                <w:lang w:eastAsia="sv-SE"/>
              </w:rPr>
            </w:pPr>
          </w:p>
        </w:tc>
        <w:tc>
          <w:tcPr>
            <w:tcW w:w="426" w:type="dxa"/>
          </w:tcPr>
          <w:p w14:paraId="453ED7E0" w14:textId="77777777" w:rsidR="007C7A8F" w:rsidRPr="00FD5672" w:rsidRDefault="007C7A8F">
            <w:pPr>
              <w:rPr>
                <w:rFonts w:ascii="Times New Roman" w:eastAsia="Times New Roman" w:hAnsi="Times New Roman"/>
                <w:sz w:val="20"/>
                <w:szCs w:val="20"/>
                <w:highlight w:val="yellow"/>
                <w:lang w:eastAsia="sv-SE"/>
              </w:rPr>
            </w:pPr>
          </w:p>
        </w:tc>
        <w:tc>
          <w:tcPr>
            <w:tcW w:w="425" w:type="dxa"/>
          </w:tcPr>
          <w:p w14:paraId="2B2896A9" w14:textId="52EC106C" w:rsidR="007C7A8F" w:rsidRPr="00FD5672" w:rsidRDefault="007C7A8F">
            <w:pPr>
              <w:rPr>
                <w:rFonts w:ascii="Times New Roman" w:eastAsia="Times New Roman" w:hAnsi="Times New Roman"/>
                <w:sz w:val="20"/>
                <w:szCs w:val="20"/>
                <w:highlight w:val="yellow"/>
                <w:lang w:eastAsia="sv-SE"/>
              </w:rPr>
            </w:pPr>
          </w:p>
        </w:tc>
        <w:tc>
          <w:tcPr>
            <w:tcW w:w="425" w:type="dxa"/>
            <w:noWrap/>
            <w:tcMar>
              <w:top w:w="0" w:type="dxa"/>
              <w:left w:w="70" w:type="dxa"/>
              <w:bottom w:w="0" w:type="dxa"/>
              <w:right w:w="70" w:type="dxa"/>
            </w:tcMar>
            <w:vAlign w:val="bottom"/>
            <w:hideMark/>
          </w:tcPr>
          <w:p w14:paraId="4F289342" w14:textId="77777777" w:rsidR="007C7A8F" w:rsidRPr="00FD5672" w:rsidRDefault="007C7A8F">
            <w:pPr>
              <w:rPr>
                <w:rFonts w:ascii="Times New Roman" w:eastAsia="Times New Roman" w:hAnsi="Times New Roman"/>
                <w:sz w:val="20"/>
                <w:szCs w:val="20"/>
                <w:highlight w:val="yellow"/>
                <w:lang w:eastAsia="sv-SE"/>
              </w:rPr>
            </w:pPr>
          </w:p>
        </w:tc>
        <w:tc>
          <w:tcPr>
            <w:tcW w:w="426" w:type="dxa"/>
            <w:noWrap/>
            <w:tcMar>
              <w:top w:w="0" w:type="dxa"/>
              <w:left w:w="70" w:type="dxa"/>
              <w:bottom w:w="0" w:type="dxa"/>
              <w:right w:w="70" w:type="dxa"/>
            </w:tcMar>
            <w:vAlign w:val="bottom"/>
            <w:hideMark/>
          </w:tcPr>
          <w:p w14:paraId="62A617DA" w14:textId="77777777" w:rsidR="007C7A8F" w:rsidRPr="00FD5672" w:rsidRDefault="007C7A8F">
            <w:pPr>
              <w:rPr>
                <w:rFonts w:ascii="Times New Roman" w:eastAsia="Times New Roman" w:hAnsi="Times New Roman"/>
                <w:sz w:val="20"/>
                <w:szCs w:val="20"/>
                <w:highlight w:val="yellow"/>
                <w:lang w:eastAsia="sv-SE"/>
              </w:rPr>
            </w:pPr>
          </w:p>
        </w:tc>
        <w:tc>
          <w:tcPr>
            <w:tcW w:w="1272" w:type="dxa"/>
            <w:noWrap/>
            <w:tcMar>
              <w:top w:w="0" w:type="dxa"/>
              <w:left w:w="70" w:type="dxa"/>
              <w:bottom w:w="0" w:type="dxa"/>
              <w:right w:w="70" w:type="dxa"/>
            </w:tcMar>
            <w:vAlign w:val="bottom"/>
            <w:hideMark/>
          </w:tcPr>
          <w:p w14:paraId="18EDEDF9" w14:textId="77777777" w:rsidR="007C7A8F" w:rsidRPr="00FD5672" w:rsidRDefault="007C7A8F">
            <w:pPr>
              <w:rPr>
                <w:rFonts w:ascii="Times New Roman" w:eastAsia="Times New Roman" w:hAnsi="Times New Roman"/>
                <w:sz w:val="20"/>
                <w:szCs w:val="20"/>
                <w:highlight w:val="yellow"/>
                <w:lang w:eastAsia="sv-SE"/>
              </w:rPr>
            </w:pPr>
          </w:p>
        </w:tc>
      </w:tr>
      <w:tr w:rsidR="006D4DFF" w:rsidRPr="006D4DFF" w14:paraId="0ABED321" w14:textId="77777777" w:rsidTr="00606A6B">
        <w:trPr>
          <w:trHeight w:val="249"/>
        </w:trPr>
        <w:tc>
          <w:tcPr>
            <w:tcW w:w="1736" w:type="dxa"/>
            <w:tcBorders>
              <w:top w:val="nil"/>
              <w:left w:val="nil"/>
              <w:right w:val="single" w:sz="8" w:space="0" w:color="auto"/>
            </w:tcBorders>
            <w:tcMar>
              <w:top w:w="0" w:type="dxa"/>
              <w:left w:w="70" w:type="dxa"/>
              <w:bottom w:w="0" w:type="dxa"/>
              <w:right w:w="70" w:type="dxa"/>
            </w:tcMar>
            <w:vAlign w:val="center"/>
            <w:hideMark/>
          </w:tcPr>
          <w:p w14:paraId="79E0089A" w14:textId="77777777" w:rsidR="006D4DFF" w:rsidRPr="006D4DFF" w:rsidRDefault="006D4DFF">
            <w:pPr>
              <w:rPr>
                <w:rFonts w:ascii="Calibri" w:hAnsi="Calibri"/>
                <w:color w:val="000000"/>
                <w:lang w:eastAsia="sv-SE"/>
              </w:rPr>
            </w:pPr>
            <w:r w:rsidRPr="006D4DFF">
              <w:rPr>
                <w:color w:val="000000"/>
                <w:lang w:eastAsia="sv-SE"/>
              </w:rPr>
              <w:t> </w:t>
            </w:r>
          </w:p>
        </w:tc>
        <w:tc>
          <w:tcPr>
            <w:tcW w:w="1699" w:type="dxa"/>
            <w:gridSpan w:val="4"/>
            <w:tcBorders>
              <w:top w:val="single" w:sz="8" w:space="0" w:color="auto"/>
              <w:left w:val="nil"/>
              <w:bottom w:val="single" w:sz="8" w:space="0" w:color="auto"/>
              <w:right w:val="single" w:sz="8" w:space="0" w:color="auto"/>
            </w:tcBorders>
          </w:tcPr>
          <w:p w14:paraId="5E2B2F9F" w14:textId="528AAFD4" w:rsidR="006D4DFF" w:rsidRPr="006D4DFF" w:rsidRDefault="006D4DFF" w:rsidP="006D4DFF">
            <w:pPr>
              <w:spacing w:after="0"/>
              <w:ind w:left="-70"/>
              <w:jc w:val="center"/>
              <w:rPr>
                <w:b/>
                <w:bCs/>
                <w:color w:val="000000"/>
                <w:sz w:val="14"/>
                <w:szCs w:val="14"/>
                <w:lang w:eastAsia="sv-SE"/>
              </w:rPr>
            </w:pPr>
            <w:r w:rsidRPr="006D4DFF">
              <w:rPr>
                <w:b/>
                <w:bCs/>
                <w:color w:val="000000"/>
                <w:lang w:eastAsia="sv-SE"/>
              </w:rPr>
              <w:t>Hertz</w:t>
            </w:r>
          </w:p>
        </w:tc>
        <w:tc>
          <w:tcPr>
            <w:tcW w:w="1702" w:type="dxa"/>
            <w:gridSpan w:val="4"/>
            <w:tcBorders>
              <w:top w:val="single" w:sz="8" w:space="0" w:color="auto"/>
              <w:left w:val="nil"/>
              <w:bottom w:val="single" w:sz="8" w:space="0" w:color="auto"/>
              <w:right w:val="single" w:sz="8" w:space="0" w:color="000000"/>
            </w:tcBorders>
          </w:tcPr>
          <w:p w14:paraId="109AA490" w14:textId="6197B4A8" w:rsidR="006D4DFF" w:rsidRPr="006D4DFF" w:rsidRDefault="006D4DFF" w:rsidP="006D4DFF">
            <w:pPr>
              <w:spacing w:after="0"/>
              <w:jc w:val="center"/>
              <w:rPr>
                <w:b/>
                <w:bCs/>
                <w:color w:val="000000"/>
                <w:lang w:eastAsia="sv-SE"/>
              </w:rPr>
            </w:pPr>
            <w:r w:rsidRPr="006D4DFF">
              <w:rPr>
                <w:b/>
                <w:bCs/>
                <w:color w:val="000000"/>
                <w:lang w:eastAsia="sv-SE"/>
              </w:rPr>
              <w:t>Bilreda</w:t>
            </w:r>
          </w:p>
        </w:tc>
        <w:tc>
          <w:tcPr>
            <w:tcW w:w="127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7A7D1C0" w14:textId="77777777" w:rsidR="006D4DFF" w:rsidRPr="006D4DFF" w:rsidRDefault="006D4DFF" w:rsidP="00BC22AD">
            <w:pPr>
              <w:spacing w:after="0"/>
              <w:jc w:val="center"/>
              <w:rPr>
                <w:b/>
                <w:bCs/>
                <w:color w:val="000000"/>
                <w:lang w:eastAsia="sv-SE"/>
              </w:rPr>
            </w:pPr>
            <w:r w:rsidRPr="006D4DFF">
              <w:rPr>
                <w:b/>
                <w:bCs/>
                <w:color w:val="000000"/>
                <w:lang w:eastAsia="sv-SE"/>
              </w:rPr>
              <w:t>GELx*</w:t>
            </w:r>
          </w:p>
          <w:p w14:paraId="1C267763" w14:textId="77777777" w:rsidR="006D4DFF" w:rsidRPr="006D4DFF" w:rsidRDefault="006D4DFF" w:rsidP="00314D7C">
            <w:pPr>
              <w:spacing w:after="0"/>
              <w:rPr>
                <w:b/>
                <w:bCs/>
                <w:color w:val="000000"/>
                <w:lang w:eastAsia="sv-SE"/>
              </w:rPr>
            </w:pPr>
          </w:p>
        </w:tc>
      </w:tr>
      <w:tr w:rsidR="006D4DFF" w:rsidRPr="006D4DFF" w14:paraId="4AB33BB0" w14:textId="77777777" w:rsidTr="00606A6B">
        <w:trPr>
          <w:trHeight w:val="263"/>
        </w:trPr>
        <w:tc>
          <w:tcPr>
            <w:tcW w:w="1736" w:type="dxa"/>
            <w:tcBorders>
              <w:bottom w:val="single" w:sz="4" w:space="0" w:color="auto"/>
              <w:right w:val="single" w:sz="4" w:space="0" w:color="auto"/>
            </w:tcBorders>
            <w:tcMar>
              <w:top w:w="0" w:type="dxa"/>
              <w:left w:w="70" w:type="dxa"/>
              <w:bottom w:w="0" w:type="dxa"/>
              <w:right w:w="70" w:type="dxa"/>
            </w:tcMar>
            <w:vAlign w:val="center"/>
          </w:tcPr>
          <w:p w14:paraId="55B65B60" w14:textId="77777777" w:rsidR="006D4DFF" w:rsidRPr="006D4DFF" w:rsidRDefault="006D4DFF" w:rsidP="006D4DFF">
            <w:pPr>
              <w:spacing w:after="0"/>
              <w:rPr>
                <w:rFonts w:ascii="Calibri" w:hAnsi="Calibri"/>
                <w:b/>
                <w:bCs/>
                <w:color w:val="000000"/>
                <w:lang w:eastAsia="sv-SE"/>
              </w:rPr>
            </w:pPr>
          </w:p>
        </w:tc>
        <w:tc>
          <w:tcPr>
            <w:tcW w:w="424"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14:paraId="4FDC492A" w14:textId="74F135EA" w:rsidR="006D4DFF" w:rsidRPr="006D4DFF" w:rsidRDefault="009A1B16" w:rsidP="006D4DFF">
            <w:pPr>
              <w:spacing w:after="0"/>
              <w:jc w:val="center"/>
              <w:rPr>
                <w:sz w:val="12"/>
                <w:szCs w:val="12"/>
                <w:lang w:eastAsia="sv-SE"/>
              </w:rPr>
            </w:pPr>
            <w:r>
              <w:rPr>
                <w:sz w:val="12"/>
                <w:szCs w:val="12"/>
                <w:lang w:eastAsia="sv-SE"/>
              </w:rPr>
              <w:t>2019</w:t>
            </w:r>
          </w:p>
        </w:tc>
        <w:tc>
          <w:tcPr>
            <w:tcW w:w="425" w:type="dxa"/>
            <w:tcBorders>
              <w:top w:val="nil"/>
              <w:left w:val="nil"/>
              <w:bottom w:val="single" w:sz="8" w:space="0" w:color="auto"/>
              <w:right w:val="single" w:sz="4" w:space="0" w:color="auto"/>
            </w:tcBorders>
            <w:vAlign w:val="center"/>
          </w:tcPr>
          <w:p w14:paraId="5C8D7B88" w14:textId="0C3BEE79" w:rsidR="006D4DFF" w:rsidRPr="006D4DFF" w:rsidRDefault="009A1B16" w:rsidP="006D4DFF">
            <w:pPr>
              <w:spacing w:after="0"/>
              <w:jc w:val="center"/>
              <w:rPr>
                <w:sz w:val="12"/>
                <w:szCs w:val="12"/>
                <w:lang w:eastAsia="sv-SE"/>
              </w:rPr>
            </w:pPr>
            <w:r>
              <w:rPr>
                <w:sz w:val="12"/>
                <w:szCs w:val="12"/>
                <w:lang w:eastAsia="sv-SE"/>
              </w:rPr>
              <w:t>2018</w:t>
            </w:r>
          </w:p>
        </w:tc>
        <w:tc>
          <w:tcPr>
            <w:tcW w:w="425" w:type="dxa"/>
            <w:tcBorders>
              <w:top w:val="nil"/>
              <w:left w:val="single" w:sz="4" w:space="0" w:color="auto"/>
              <w:bottom w:val="single" w:sz="8" w:space="0" w:color="auto"/>
              <w:right w:val="single" w:sz="4" w:space="0" w:color="auto"/>
            </w:tcBorders>
            <w:vAlign w:val="center"/>
          </w:tcPr>
          <w:p w14:paraId="50EFC18C" w14:textId="7390600E" w:rsidR="006D4DFF" w:rsidRPr="006D4DFF" w:rsidRDefault="009A1B16" w:rsidP="006D4DFF">
            <w:pPr>
              <w:spacing w:after="0"/>
              <w:jc w:val="center"/>
              <w:rPr>
                <w:sz w:val="12"/>
                <w:szCs w:val="12"/>
                <w:lang w:eastAsia="sv-SE"/>
              </w:rPr>
            </w:pPr>
            <w:r>
              <w:rPr>
                <w:sz w:val="12"/>
                <w:szCs w:val="12"/>
                <w:lang w:eastAsia="sv-SE"/>
              </w:rPr>
              <w:t>2017</w:t>
            </w:r>
          </w:p>
        </w:tc>
        <w:tc>
          <w:tcPr>
            <w:tcW w:w="42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14:paraId="18E10A47" w14:textId="7CA00918" w:rsidR="006D4DFF" w:rsidRPr="006D4DFF" w:rsidRDefault="006D4DFF" w:rsidP="009A1B16">
            <w:pPr>
              <w:spacing w:after="0"/>
              <w:jc w:val="center"/>
              <w:rPr>
                <w:sz w:val="12"/>
                <w:szCs w:val="12"/>
                <w:lang w:eastAsia="sv-SE"/>
              </w:rPr>
            </w:pPr>
            <w:r w:rsidRPr="006D4DFF">
              <w:rPr>
                <w:sz w:val="12"/>
                <w:szCs w:val="12"/>
                <w:lang w:eastAsia="sv-SE"/>
              </w:rPr>
              <w:t>201</w:t>
            </w:r>
            <w:r w:rsidR="009A1B16">
              <w:rPr>
                <w:sz w:val="12"/>
                <w:szCs w:val="12"/>
                <w:lang w:eastAsia="sv-SE"/>
              </w:rPr>
              <w:t>6</w:t>
            </w:r>
          </w:p>
        </w:tc>
        <w:tc>
          <w:tcPr>
            <w:tcW w:w="426" w:type="dxa"/>
            <w:tcBorders>
              <w:top w:val="nil"/>
              <w:left w:val="nil"/>
              <w:bottom w:val="single" w:sz="8" w:space="0" w:color="auto"/>
              <w:right w:val="single" w:sz="4" w:space="0" w:color="auto"/>
            </w:tcBorders>
            <w:vAlign w:val="center"/>
          </w:tcPr>
          <w:p w14:paraId="7BCCB64D" w14:textId="1717E9DE" w:rsidR="006D4DFF" w:rsidRPr="006D4DFF" w:rsidRDefault="006D4DFF" w:rsidP="006D4DFF">
            <w:pPr>
              <w:spacing w:after="0"/>
              <w:jc w:val="center"/>
              <w:rPr>
                <w:sz w:val="12"/>
                <w:szCs w:val="12"/>
                <w:lang w:eastAsia="sv-SE"/>
              </w:rPr>
            </w:pPr>
            <w:r w:rsidRPr="006D4DFF">
              <w:rPr>
                <w:sz w:val="12"/>
                <w:szCs w:val="12"/>
                <w:lang w:eastAsia="sv-SE"/>
              </w:rPr>
              <w:t>2</w:t>
            </w:r>
            <w:r w:rsidR="009A1B16">
              <w:rPr>
                <w:sz w:val="12"/>
                <w:szCs w:val="12"/>
                <w:lang w:eastAsia="sv-SE"/>
              </w:rPr>
              <w:t>019</w:t>
            </w:r>
          </w:p>
        </w:tc>
        <w:tc>
          <w:tcPr>
            <w:tcW w:w="425" w:type="dxa"/>
            <w:tcBorders>
              <w:top w:val="nil"/>
              <w:left w:val="single" w:sz="4" w:space="0" w:color="auto"/>
              <w:bottom w:val="single" w:sz="8" w:space="0" w:color="auto"/>
              <w:right w:val="single" w:sz="4" w:space="0" w:color="auto"/>
            </w:tcBorders>
            <w:vAlign w:val="center"/>
          </w:tcPr>
          <w:p w14:paraId="472C97DD" w14:textId="4108EAB3" w:rsidR="006D4DFF" w:rsidRPr="006D4DFF" w:rsidRDefault="009A1B16" w:rsidP="006D4DFF">
            <w:pPr>
              <w:spacing w:after="0"/>
              <w:rPr>
                <w:sz w:val="12"/>
                <w:szCs w:val="12"/>
                <w:lang w:eastAsia="sv-SE"/>
              </w:rPr>
            </w:pPr>
            <w:r>
              <w:rPr>
                <w:sz w:val="12"/>
                <w:szCs w:val="12"/>
                <w:lang w:eastAsia="sv-SE"/>
              </w:rPr>
              <w:t>2018</w:t>
            </w:r>
          </w:p>
        </w:tc>
        <w:tc>
          <w:tcPr>
            <w:tcW w:w="42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14:paraId="14CAE509" w14:textId="6F2D1228" w:rsidR="006D4DFF" w:rsidRPr="006D4DFF" w:rsidRDefault="009A1B16" w:rsidP="006D4DFF">
            <w:pPr>
              <w:spacing w:after="0"/>
              <w:jc w:val="center"/>
              <w:rPr>
                <w:sz w:val="12"/>
                <w:szCs w:val="12"/>
                <w:lang w:eastAsia="sv-SE"/>
              </w:rPr>
            </w:pPr>
            <w:r>
              <w:rPr>
                <w:sz w:val="12"/>
                <w:szCs w:val="12"/>
                <w:lang w:eastAsia="sv-SE"/>
              </w:rPr>
              <w:t>2017</w:t>
            </w:r>
          </w:p>
        </w:tc>
        <w:tc>
          <w:tcPr>
            <w:tcW w:w="426"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6C14563" w14:textId="34670D77" w:rsidR="006D4DFF" w:rsidRPr="006D4DFF" w:rsidRDefault="009A1B16" w:rsidP="006D4DFF">
            <w:pPr>
              <w:spacing w:after="0"/>
              <w:jc w:val="center"/>
              <w:rPr>
                <w:sz w:val="12"/>
                <w:szCs w:val="12"/>
                <w:lang w:eastAsia="sv-SE"/>
              </w:rPr>
            </w:pPr>
            <w:r>
              <w:rPr>
                <w:sz w:val="12"/>
                <w:szCs w:val="12"/>
                <w:lang w:eastAsia="sv-SE"/>
              </w:rPr>
              <w:t>2016</w:t>
            </w:r>
          </w:p>
        </w:tc>
        <w:tc>
          <w:tcPr>
            <w:tcW w:w="1272" w:type="dxa"/>
            <w:tcBorders>
              <w:top w:val="nil"/>
              <w:left w:val="nil"/>
              <w:bottom w:val="single" w:sz="8" w:space="0" w:color="auto"/>
              <w:right w:val="single" w:sz="8" w:space="0" w:color="auto"/>
            </w:tcBorders>
            <w:tcMar>
              <w:top w:w="0" w:type="dxa"/>
              <w:left w:w="70" w:type="dxa"/>
              <w:bottom w:w="0" w:type="dxa"/>
              <w:right w:w="70" w:type="dxa"/>
            </w:tcMar>
            <w:vAlign w:val="center"/>
          </w:tcPr>
          <w:p w14:paraId="7F8FCCDD" w14:textId="77777777" w:rsidR="006D4DFF" w:rsidRPr="006D4DFF" w:rsidRDefault="006D4DFF" w:rsidP="006D4DFF">
            <w:pPr>
              <w:spacing w:after="0"/>
              <w:jc w:val="center"/>
              <w:rPr>
                <w:sz w:val="12"/>
                <w:szCs w:val="12"/>
                <w:lang w:eastAsia="sv-SE"/>
              </w:rPr>
            </w:pPr>
          </w:p>
        </w:tc>
      </w:tr>
      <w:tr w:rsidR="006D4DFF" w:rsidRPr="006D4DFF" w14:paraId="76B4BFC5" w14:textId="77777777" w:rsidTr="007C7A8F">
        <w:trPr>
          <w:trHeight w:val="143"/>
        </w:trPr>
        <w:tc>
          <w:tcPr>
            <w:tcW w:w="173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9059D16" w14:textId="77777777" w:rsidR="006D4DFF" w:rsidRPr="006D4DFF" w:rsidRDefault="006D4DFF" w:rsidP="006D4DFF">
            <w:pPr>
              <w:spacing w:after="0"/>
              <w:rPr>
                <w:b/>
                <w:bCs/>
                <w:color w:val="000000"/>
                <w:lang w:eastAsia="sv-SE"/>
              </w:rPr>
            </w:pPr>
            <w:r w:rsidRPr="006D4DFF">
              <w:rPr>
                <w:b/>
                <w:bCs/>
                <w:color w:val="000000"/>
                <w:lang w:eastAsia="sv-SE"/>
              </w:rPr>
              <w:t>Arbetsglädje</w:t>
            </w:r>
          </w:p>
        </w:tc>
        <w:tc>
          <w:tcPr>
            <w:tcW w:w="424" w:type="dxa"/>
            <w:tcBorders>
              <w:top w:val="nil"/>
              <w:left w:val="nil"/>
              <w:bottom w:val="single" w:sz="8" w:space="0" w:color="auto"/>
              <w:right w:val="single" w:sz="8" w:space="0" w:color="auto"/>
            </w:tcBorders>
            <w:tcMar>
              <w:top w:w="0" w:type="dxa"/>
              <w:left w:w="70" w:type="dxa"/>
              <w:bottom w:w="0" w:type="dxa"/>
              <w:right w:w="70" w:type="dxa"/>
            </w:tcMar>
            <w:vAlign w:val="center"/>
          </w:tcPr>
          <w:p w14:paraId="47684024" w14:textId="3B67AA50" w:rsidR="006D4DFF" w:rsidRPr="006D4DFF" w:rsidRDefault="009A1B16" w:rsidP="006D4DFF">
            <w:pPr>
              <w:spacing w:after="0"/>
              <w:jc w:val="center"/>
              <w:rPr>
                <w:lang w:eastAsia="sv-SE"/>
              </w:rPr>
            </w:pPr>
            <w:r>
              <w:rPr>
                <w:lang w:eastAsia="sv-SE"/>
              </w:rPr>
              <w:t>66</w:t>
            </w:r>
          </w:p>
        </w:tc>
        <w:tc>
          <w:tcPr>
            <w:tcW w:w="425" w:type="dxa"/>
            <w:tcBorders>
              <w:top w:val="nil"/>
              <w:left w:val="nil"/>
              <w:bottom w:val="single" w:sz="8" w:space="0" w:color="auto"/>
              <w:right w:val="single" w:sz="4" w:space="0" w:color="auto"/>
            </w:tcBorders>
            <w:vAlign w:val="center"/>
          </w:tcPr>
          <w:p w14:paraId="4D475116" w14:textId="049DC44B" w:rsidR="006D4DFF" w:rsidRPr="006D4DFF" w:rsidRDefault="009A1B16" w:rsidP="006D4DFF">
            <w:pPr>
              <w:spacing w:after="0"/>
              <w:jc w:val="center"/>
              <w:rPr>
                <w:lang w:eastAsia="sv-SE"/>
              </w:rPr>
            </w:pPr>
            <w:r>
              <w:rPr>
                <w:lang w:eastAsia="sv-SE"/>
              </w:rPr>
              <w:t>62</w:t>
            </w:r>
          </w:p>
        </w:tc>
        <w:tc>
          <w:tcPr>
            <w:tcW w:w="425" w:type="dxa"/>
            <w:tcBorders>
              <w:top w:val="nil"/>
              <w:left w:val="single" w:sz="4" w:space="0" w:color="auto"/>
              <w:bottom w:val="single" w:sz="8" w:space="0" w:color="auto"/>
              <w:right w:val="single" w:sz="4" w:space="0" w:color="auto"/>
            </w:tcBorders>
          </w:tcPr>
          <w:p w14:paraId="0571752E" w14:textId="4A4935D4" w:rsidR="006D4DFF" w:rsidRPr="006D4DFF" w:rsidRDefault="009A1B16" w:rsidP="006D4DFF">
            <w:pPr>
              <w:spacing w:after="0"/>
              <w:jc w:val="center"/>
              <w:rPr>
                <w:lang w:eastAsia="sv-SE"/>
              </w:rPr>
            </w:pPr>
            <w:r>
              <w:rPr>
                <w:lang w:eastAsia="sv-SE"/>
              </w:rPr>
              <w:t>66</w:t>
            </w:r>
          </w:p>
        </w:tc>
        <w:tc>
          <w:tcPr>
            <w:tcW w:w="42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14:paraId="6CA91FDA" w14:textId="1DC8BBD9" w:rsidR="006D4DFF" w:rsidRPr="006D4DFF" w:rsidRDefault="009A1B16" w:rsidP="006D4DFF">
            <w:pPr>
              <w:spacing w:after="0"/>
              <w:jc w:val="center"/>
              <w:rPr>
                <w:lang w:eastAsia="sv-SE"/>
              </w:rPr>
            </w:pPr>
            <w:r>
              <w:rPr>
                <w:lang w:eastAsia="sv-SE"/>
              </w:rPr>
              <w:t>61</w:t>
            </w:r>
          </w:p>
        </w:tc>
        <w:tc>
          <w:tcPr>
            <w:tcW w:w="426" w:type="dxa"/>
            <w:tcBorders>
              <w:top w:val="nil"/>
              <w:left w:val="nil"/>
              <w:bottom w:val="single" w:sz="8" w:space="0" w:color="auto"/>
              <w:right w:val="single" w:sz="4" w:space="0" w:color="auto"/>
            </w:tcBorders>
          </w:tcPr>
          <w:p w14:paraId="38E8A8C8" w14:textId="430B85B3" w:rsidR="006D4DFF" w:rsidRPr="006D4DFF" w:rsidRDefault="009A1B16" w:rsidP="006D4DFF">
            <w:pPr>
              <w:spacing w:after="0"/>
              <w:jc w:val="center"/>
              <w:rPr>
                <w:lang w:eastAsia="sv-SE"/>
              </w:rPr>
            </w:pPr>
            <w:r>
              <w:rPr>
                <w:lang w:eastAsia="sv-SE"/>
              </w:rPr>
              <w:t>60</w:t>
            </w:r>
          </w:p>
        </w:tc>
        <w:tc>
          <w:tcPr>
            <w:tcW w:w="425" w:type="dxa"/>
            <w:tcBorders>
              <w:top w:val="nil"/>
              <w:left w:val="single" w:sz="4" w:space="0" w:color="auto"/>
              <w:bottom w:val="single" w:sz="8" w:space="0" w:color="auto"/>
              <w:right w:val="single" w:sz="4" w:space="0" w:color="auto"/>
            </w:tcBorders>
          </w:tcPr>
          <w:p w14:paraId="59B5789E" w14:textId="6D1209C9" w:rsidR="006D4DFF" w:rsidRPr="006D4DFF" w:rsidRDefault="009A1B16" w:rsidP="006D4DFF">
            <w:pPr>
              <w:spacing w:after="0"/>
              <w:jc w:val="center"/>
              <w:rPr>
                <w:lang w:eastAsia="sv-SE"/>
              </w:rPr>
            </w:pPr>
            <w:r>
              <w:rPr>
                <w:lang w:eastAsia="sv-SE"/>
              </w:rPr>
              <w:t>66</w:t>
            </w:r>
          </w:p>
        </w:tc>
        <w:tc>
          <w:tcPr>
            <w:tcW w:w="42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14:paraId="21E11952" w14:textId="22160D5E" w:rsidR="006D4DFF" w:rsidRPr="006D4DFF" w:rsidRDefault="009A1B16" w:rsidP="006D4DFF">
            <w:pPr>
              <w:spacing w:after="0"/>
              <w:jc w:val="center"/>
              <w:rPr>
                <w:lang w:eastAsia="sv-SE"/>
              </w:rPr>
            </w:pPr>
            <w:r>
              <w:rPr>
                <w:lang w:eastAsia="sv-SE"/>
              </w:rPr>
              <w:t>68</w:t>
            </w:r>
          </w:p>
        </w:tc>
        <w:tc>
          <w:tcPr>
            <w:tcW w:w="42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395230C" w14:textId="044BB0F1" w:rsidR="006D4DFF" w:rsidRPr="006D4DFF" w:rsidRDefault="006D4DFF" w:rsidP="009A1B16">
            <w:pPr>
              <w:spacing w:after="0"/>
              <w:jc w:val="center"/>
              <w:rPr>
                <w:lang w:eastAsia="sv-SE"/>
              </w:rPr>
            </w:pPr>
            <w:r w:rsidRPr="006D4DFF">
              <w:rPr>
                <w:lang w:eastAsia="sv-SE"/>
              </w:rPr>
              <w:t>5</w:t>
            </w:r>
            <w:r w:rsidR="009A1B16">
              <w:rPr>
                <w:lang w:eastAsia="sv-SE"/>
              </w:rPr>
              <w:t>6</w:t>
            </w:r>
          </w:p>
        </w:tc>
        <w:tc>
          <w:tcPr>
            <w:tcW w:w="1272" w:type="dxa"/>
            <w:tcBorders>
              <w:top w:val="nil"/>
              <w:left w:val="nil"/>
              <w:bottom w:val="single" w:sz="8" w:space="0" w:color="auto"/>
              <w:right w:val="single" w:sz="8" w:space="0" w:color="auto"/>
            </w:tcBorders>
            <w:tcMar>
              <w:top w:w="0" w:type="dxa"/>
              <w:left w:w="70" w:type="dxa"/>
              <w:bottom w:w="0" w:type="dxa"/>
              <w:right w:w="70" w:type="dxa"/>
            </w:tcMar>
            <w:vAlign w:val="center"/>
          </w:tcPr>
          <w:p w14:paraId="1B6E6F69" w14:textId="56F46093" w:rsidR="006D4DFF" w:rsidRPr="006D4DFF" w:rsidRDefault="006D4DFF" w:rsidP="006D4DFF">
            <w:pPr>
              <w:spacing w:after="0"/>
              <w:jc w:val="center"/>
              <w:rPr>
                <w:lang w:eastAsia="sv-SE"/>
              </w:rPr>
            </w:pPr>
            <w:r w:rsidRPr="006D4DFF">
              <w:rPr>
                <w:lang w:eastAsia="sv-SE"/>
              </w:rPr>
              <w:t>6</w:t>
            </w:r>
            <w:r w:rsidR="009A1B16">
              <w:rPr>
                <w:lang w:eastAsia="sv-SE"/>
              </w:rPr>
              <w:t>8</w:t>
            </w:r>
          </w:p>
        </w:tc>
      </w:tr>
      <w:tr w:rsidR="006D4DFF" w:rsidRPr="006D4DFF" w14:paraId="380AC86E" w14:textId="77777777" w:rsidTr="007C7A8F">
        <w:trPr>
          <w:trHeight w:val="315"/>
        </w:trPr>
        <w:tc>
          <w:tcPr>
            <w:tcW w:w="17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2DE45A" w14:textId="77777777" w:rsidR="006D4DFF" w:rsidRPr="006D4DFF" w:rsidRDefault="006D4DFF" w:rsidP="006D4DFF">
            <w:pPr>
              <w:spacing w:after="0"/>
              <w:rPr>
                <w:rFonts w:ascii="Calibri" w:hAnsi="Calibri"/>
                <w:b/>
                <w:bCs/>
                <w:color w:val="000000"/>
                <w:lang w:eastAsia="sv-SE"/>
              </w:rPr>
            </w:pPr>
            <w:r w:rsidRPr="006D4DFF">
              <w:rPr>
                <w:b/>
                <w:bCs/>
                <w:color w:val="000000"/>
                <w:lang w:eastAsia="sv-SE"/>
              </w:rPr>
              <w:t>Lojalitet</w:t>
            </w:r>
          </w:p>
        </w:tc>
        <w:tc>
          <w:tcPr>
            <w:tcW w:w="424" w:type="dxa"/>
            <w:tcBorders>
              <w:top w:val="nil"/>
              <w:left w:val="nil"/>
              <w:bottom w:val="single" w:sz="8" w:space="0" w:color="auto"/>
              <w:right w:val="single" w:sz="8" w:space="0" w:color="auto"/>
            </w:tcBorders>
            <w:tcMar>
              <w:top w:w="0" w:type="dxa"/>
              <w:left w:w="70" w:type="dxa"/>
              <w:bottom w:w="0" w:type="dxa"/>
              <w:right w:w="70" w:type="dxa"/>
            </w:tcMar>
            <w:vAlign w:val="center"/>
          </w:tcPr>
          <w:p w14:paraId="6E9E06DE" w14:textId="12FD9D7A" w:rsidR="006D4DFF" w:rsidRPr="006D4DFF" w:rsidRDefault="009A1B16" w:rsidP="006D4DFF">
            <w:pPr>
              <w:spacing w:after="0"/>
              <w:jc w:val="center"/>
              <w:rPr>
                <w:lang w:eastAsia="sv-SE"/>
              </w:rPr>
            </w:pPr>
            <w:r>
              <w:rPr>
                <w:lang w:eastAsia="sv-SE"/>
              </w:rPr>
              <w:t>76</w:t>
            </w:r>
          </w:p>
        </w:tc>
        <w:tc>
          <w:tcPr>
            <w:tcW w:w="425" w:type="dxa"/>
            <w:tcBorders>
              <w:top w:val="nil"/>
              <w:left w:val="nil"/>
              <w:bottom w:val="single" w:sz="8" w:space="0" w:color="auto"/>
              <w:right w:val="single" w:sz="4" w:space="0" w:color="auto"/>
            </w:tcBorders>
            <w:vAlign w:val="center"/>
          </w:tcPr>
          <w:p w14:paraId="19ACB789" w14:textId="482D7F8E" w:rsidR="006D4DFF" w:rsidRPr="006D4DFF" w:rsidRDefault="009A1B16" w:rsidP="006D4DFF">
            <w:pPr>
              <w:spacing w:after="0"/>
              <w:jc w:val="center"/>
              <w:rPr>
                <w:lang w:eastAsia="sv-SE"/>
              </w:rPr>
            </w:pPr>
            <w:r>
              <w:rPr>
                <w:lang w:eastAsia="sv-SE"/>
              </w:rPr>
              <w:t>74</w:t>
            </w:r>
          </w:p>
        </w:tc>
        <w:tc>
          <w:tcPr>
            <w:tcW w:w="425" w:type="dxa"/>
            <w:tcBorders>
              <w:top w:val="nil"/>
              <w:left w:val="single" w:sz="4" w:space="0" w:color="auto"/>
              <w:bottom w:val="single" w:sz="8" w:space="0" w:color="auto"/>
              <w:right w:val="single" w:sz="4" w:space="0" w:color="auto"/>
            </w:tcBorders>
          </w:tcPr>
          <w:p w14:paraId="3F7A5900" w14:textId="488BA34F" w:rsidR="006D4DFF" w:rsidRPr="006D4DFF" w:rsidRDefault="009A1B16" w:rsidP="006D4DFF">
            <w:pPr>
              <w:spacing w:after="0"/>
              <w:jc w:val="center"/>
              <w:rPr>
                <w:lang w:eastAsia="sv-SE"/>
              </w:rPr>
            </w:pPr>
            <w:r>
              <w:rPr>
                <w:lang w:eastAsia="sv-SE"/>
              </w:rPr>
              <w:t>77</w:t>
            </w:r>
          </w:p>
        </w:tc>
        <w:tc>
          <w:tcPr>
            <w:tcW w:w="42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53B533A2" w14:textId="1F99A83D" w:rsidR="006D4DFF" w:rsidRPr="006D4DFF" w:rsidRDefault="009A1B16" w:rsidP="006D4DFF">
            <w:pPr>
              <w:spacing w:after="0"/>
              <w:jc w:val="center"/>
              <w:rPr>
                <w:lang w:eastAsia="sv-SE"/>
              </w:rPr>
            </w:pPr>
            <w:r>
              <w:rPr>
                <w:lang w:eastAsia="sv-SE"/>
              </w:rPr>
              <w:t>74</w:t>
            </w:r>
          </w:p>
        </w:tc>
        <w:tc>
          <w:tcPr>
            <w:tcW w:w="426" w:type="dxa"/>
            <w:tcBorders>
              <w:top w:val="nil"/>
              <w:left w:val="nil"/>
              <w:bottom w:val="single" w:sz="8" w:space="0" w:color="auto"/>
              <w:right w:val="single" w:sz="4" w:space="0" w:color="auto"/>
            </w:tcBorders>
          </w:tcPr>
          <w:p w14:paraId="1D15A843" w14:textId="2C14F780" w:rsidR="006D4DFF" w:rsidRPr="006D4DFF" w:rsidRDefault="009A1B16" w:rsidP="006D4DFF">
            <w:pPr>
              <w:spacing w:after="0"/>
              <w:jc w:val="center"/>
              <w:rPr>
                <w:lang w:eastAsia="sv-SE"/>
              </w:rPr>
            </w:pPr>
            <w:r>
              <w:rPr>
                <w:lang w:eastAsia="sv-SE"/>
              </w:rPr>
              <w:t>71</w:t>
            </w:r>
          </w:p>
        </w:tc>
        <w:tc>
          <w:tcPr>
            <w:tcW w:w="425" w:type="dxa"/>
            <w:tcBorders>
              <w:top w:val="nil"/>
              <w:left w:val="single" w:sz="4" w:space="0" w:color="auto"/>
              <w:bottom w:val="single" w:sz="8" w:space="0" w:color="auto"/>
              <w:right w:val="single" w:sz="4" w:space="0" w:color="auto"/>
            </w:tcBorders>
          </w:tcPr>
          <w:p w14:paraId="73ADE4D7" w14:textId="3009A3EA" w:rsidR="006D4DFF" w:rsidRPr="006D4DFF" w:rsidRDefault="009A1B16" w:rsidP="006D4DFF">
            <w:pPr>
              <w:spacing w:after="0"/>
              <w:jc w:val="center"/>
              <w:rPr>
                <w:lang w:eastAsia="sv-SE"/>
              </w:rPr>
            </w:pPr>
            <w:r>
              <w:rPr>
                <w:lang w:eastAsia="sv-SE"/>
              </w:rPr>
              <w:t>72</w:t>
            </w:r>
          </w:p>
        </w:tc>
        <w:tc>
          <w:tcPr>
            <w:tcW w:w="42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7130F00F" w14:textId="54844CFA" w:rsidR="006D4DFF" w:rsidRPr="006D4DFF" w:rsidRDefault="009A1B16" w:rsidP="006D4DFF">
            <w:pPr>
              <w:spacing w:after="0"/>
              <w:jc w:val="center"/>
              <w:rPr>
                <w:lang w:eastAsia="sv-SE"/>
              </w:rPr>
            </w:pPr>
            <w:r>
              <w:rPr>
                <w:lang w:eastAsia="sv-SE"/>
              </w:rPr>
              <w:t>68</w:t>
            </w:r>
          </w:p>
        </w:tc>
        <w:tc>
          <w:tcPr>
            <w:tcW w:w="4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765546" w14:textId="4A8642B7" w:rsidR="006D4DFF" w:rsidRPr="006D4DFF" w:rsidRDefault="009A1B16" w:rsidP="006D4DFF">
            <w:pPr>
              <w:spacing w:after="0"/>
              <w:jc w:val="center"/>
              <w:rPr>
                <w:lang w:eastAsia="sv-SE"/>
              </w:rPr>
            </w:pPr>
            <w:r>
              <w:rPr>
                <w:lang w:eastAsia="sv-SE"/>
              </w:rPr>
              <w:t>63</w:t>
            </w:r>
          </w:p>
        </w:tc>
        <w:tc>
          <w:tcPr>
            <w:tcW w:w="127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B258F0" w14:textId="769665CB" w:rsidR="006D4DFF" w:rsidRPr="006D4DFF" w:rsidRDefault="009A1B16" w:rsidP="006D4DFF">
            <w:pPr>
              <w:spacing w:after="0"/>
              <w:jc w:val="center"/>
              <w:rPr>
                <w:lang w:eastAsia="sv-SE"/>
              </w:rPr>
            </w:pPr>
            <w:r>
              <w:rPr>
                <w:lang w:eastAsia="sv-SE"/>
              </w:rPr>
              <w:t>78</w:t>
            </w:r>
          </w:p>
        </w:tc>
      </w:tr>
    </w:tbl>
    <w:p w14:paraId="79BC3F3E" w14:textId="10ED3D2D" w:rsidR="003118A3" w:rsidRPr="00EA6971" w:rsidRDefault="00314D7C" w:rsidP="00DD1783">
      <w:pPr>
        <w:ind w:left="364"/>
        <w:rPr>
          <w:i/>
          <w:sz w:val="16"/>
          <w:lang w:eastAsia="sv-SE"/>
        </w:rPr>
      </w:pPr>
      <w:r w:rsidRPr="006D4DFF">
        <w:rPr>
          <w:lang w:val="en-GB" w:eastAsia="sv-SE"/>
        </w:rPr>
        <w:t xml:space="preserve">* </w:t>
      </w:r>
      <w:r w:rsidRPr="006D4DFF">
        <w:rPr>
          <w:i/>
          <w:sz w:val="16"/>
          <w:lang w:val="en-GB" w:eastAsia="sv-SE"/>
        </w:rPr>
        <w:t xml:space="preserve">GELx – Global Employee and Leadership Index. </w:t>
      </w:r>
      <w:r w:rsidRPr="006D4DFF">
        <w:rPr>
          <w:i/>
          <w:sz w:val="16"/>
          <w:lang w:eastAsia="sv-SE"/>
        </w:rPr>
        <w:t>Representativ undersökning som genomförs årligen sedan 2000 av Ennova.</w:t>
      </w:r>
      <w:r w:rsidR="007C7A8F">
        <w:rPr>
          <w:i/>
          <w:sz w:val="16"/>
          <w:lang w:eastAsia="sv-SE"/>
        </w:rPr>
        <w:t>4</w:t>
      </w:r>
    </w:p>
    <w:p w14:paraId="45D31F1D" w14:textId="2EE3118B" w:rsidR="00F5151B" w:rsidRDefault="009A1B16" w:rsidP="00F5151B">
      <w:pPr>
        <w:ind w:left="426"/>
        <w:rPr>
          <w:color w:val="000000" w:themeColor="text1"/>
        </w:rPr>
      </w:pPr>
      <w:r>
        <w:rPr>
          <w:color w:val="000000"/>
        </w:rPr>
        <w:t>Mål: Antalet sjukdagar 2</w:t>
      </w:r>
      <w:r w:rsidRPr="009A1B16">
        <w:rPr>
          <w:color w:val="000000" w:themeColor="text1"/>
        </w:rPr>
        <w:t xml:space="preserve">020 </w:t>
      </w:r>
      <w:r>
        <w:rPr>
          <w:color w:val="000000"/>
        </w:rPr>
        <w:t xml:space="preserve">ska inte överstiga antalet sjukdagar </w:t>
      </w:r>
      <w:r w:rsidRPr="008D7E22">
        <w:rPr>
          <w:color w:val="000000" w:themeColor="text1"/>
        </w:rPr>
        <w:t xml:space="preserve">2019. Vi </w:t>
      </w:r>
      <w:r>
        <w:rPr>
          <w:color w:val="000000"/>
        </w:rPr>
        <w:t>har nått vårt mål med färre sjukdagar under 2018 för Hertz och Bilreda. Vi har fortfarande långtidssjukskrivningar av personliga skäl, vilka vi som arbetsgivare inte har möjlighet att påverka.</w:t>
      </w:r>
      <w:r w:rsidR="00844B38">
        <w:rPr>
          <w:color w:val="000000" w:themeColor="text1"/>
        </w:rPr>
        <w:t xml:space="preserve"> </w:t>
      </w:r>
    </w:p>
    <w:p w14:paraId="61369D29" w14:textId="77777777" w:rsidR="008D7E22" w:rsidRDefault="008D7E22" w:rsidP="00F5151B">
      <w:pPr>
        <w:ind w:left="426"/>
        <w:rPr>
          <w:color w:val="000000" w:themeColor="text1"/>
        </w:rPr>
      </w:pPr>
    </w:p>
    <w:p w14:paraId="07380DBB" w14:textId="77777777" w:rsidR="008D7E22" w:rsidRPr="00AD50F9" w:rsidRDefault="008D7E22" w:rsidP="00F5151B">
      <w:pPr>
        <w:ind w:left="426"/>
        <w:rPr>
          <w:color w:val="000000" w:themeColor="text1"/>
        </w:rPr>
      </w:pPr>
    </w:p>
    <w:tbl>
      <w:tblPr>
        <w:tblW w:w="7053" w:type="dxa"/>
        <w:tblInd w:w="4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99"/>
        <w:gridCol w:w="586"/>
        <w:gridCol w:w="567"/>
        <w:gridCol w:w="567"/>
        <w:gridCol w:w="567"/>
        <w:gridCol w:w="567"/>
      </w:tblGrid>
      <w:tr w:rsidR="00AD50F9" w:rsidRPr="005F4BC4" w14:paraId="396E9BA9" w14:textId="77777777" w:rsidTr="00606A6B">
        <w:trPr>
          <w:trHeight w:val="255"/>
        </w:trPr>
        <w:tc>
          <w:tcPr>
            <w:tcW w:w="4199" w:type="dxa"/>
            <w:shd w:val="clear" w:color="auto" w:fill="FFFF00"/>
            <w:noWrap/>
            <w:vAlign w:val="bottom"/>
            <w:hideMark/>
          </w:tcPr>
          <w:p w14:paraId="4F5D8376" w14:textId="77777777" w:rsidR="00AD50F9" w:rsidRPr="00AD50F9" w:rsidRDefault="00AD50F9" w:rsidP="00AD50F9">
            <w:pPr>
              <w:spacing w:after="0" w:line="240" w:lineRule="auto"/>
              <w:rPr>
                <w:rFonts w:eastAsia="Times New Roman" w:cs="Arial"/>
                <w:b/>
                <w:bCs/>
                <w:sz w:val="20"/>
                <w:szCs w:val="20"/>
                <w:lang w:eastAsia="sv-SE"/>
              </w:rPr>
            </w:pPr>
            <w:r w:rsidRPr="00AD50F9">
              <w:rPr>
                <w:rFonts w:eastAsia="Times New Roman" w:cs="Arial"/>
                <w:b/>
                <w:bCs/>
                <w:sz w:val="20"/>
                <w:szCs w:val="20"/>
                <w:lang w:eastAsia="sv-SE"/>
              </w:rPr>
              <w:t>Olyckor och frånvaro Hertz</w:t>
            </w:r>
          </w:p>
        </w:tc>
        <w:tc>
          <w:tcPr>
            <w:tcW w:w="586" w:type="dxa"/>
            <w:shd w:val="clear" w:color="auto" w:fill="FFFF00"/>
            <w:noWrap/>
            <w:vAlign w:val="bottom"/>
          </w:tcPr>
          <w:p w14:paraId="51891D3C" w14:textId="5FDC9875" w:rsidR="00AD50F9" w:rsidRPr="00AD50F9" w:rsidRDefault="00687F56" w:rsidP="00AD50F9">
            <w:pPr>
              <w:spacing w:after="0" w:line="240" w:lineRule="auto"/>
              <w:jc w:val="center"/>
              <w:rPr>
                <w:rFonts w:eastAsia="Times New Roman" w:cs="Arial"/>
                <w:b/>
                <w:sz w:val="20"/>
                <w:szCs w:val="20"/>
                <w:lang w:eastAsia="sv-SE"/>
              </w:rPr>
            </w:pPr>
            <w:r>
              <w:rPr>
                <w:rFonts w:eastAsia="Times New Roman" w:cs="Arial"/>
                <w:b/>
                <w:sz w:val="20"/>
                <w:szCs w:val="20"/>
                <w:lang w:eastAsia="sv-SE"/>
              </w:rPr>
              <w:t>2015</w:t>
            </w:r>
          </w:p>
        </w:tc>
        <w:tc>
          <w:tcPr>
            <w:tcW w:w="567" w:type="dxa"/>
            <w:shd w:val="clear" w:color="auto" w:fill="FFFF00"/>
            <w:noWrap/>
            <w:vAlign w:val="bottom"/>
          </w:tcPr>
          <w:p w14:paraId="143358B2" w14:textId="009C4DD3" w:rsidR="00AD50F9" w:rsidRPr="00AD50F9" w:rsidRDefault="00687F56" w:rsidP="00AD50F9">
            <w:pPr>
              <w:spacing w:after="0" w:line="240" w:lineRule="auto"/>
              <w:jc w:val="center"/>
              <w:rPr>
                <w:rFonts w:eastAsia="Times New Roman" w:cs="Arial"/>
                <w:b/>
                <w:sz w:val="20"/>
                <w:szCs w:val="20"/>
                <w:lang w:eastAsia="sv-SE"/>
              </w:rPr>
            </w:pPr>
            <w:r>
              <w:rPr>
                <w:rFonts w:eastAsia="Times New Roman" w:cs="Arial"/>
                <w:b/>
                <w:sz w:val="20"/>
                <w:szCs w:val="20"/>
                <w:lang w:eastAsia="sv-SE"/>
              </w:rPr>
              <w:t>2016</w:t>
            </w:r>
          </w:p>
        </w:tc>
        <w:tc>
          <w:tcPr>
            <w:tcW w:w="567" w:type="dxa"/>
            <w:shd w:val="clear" w:color="auto" w:fill="FFFF00"/>
            <w:noWrap/>
          </w:tcPr>
          <w:p w14:paraId="10DE6C99" w14:textId="61CC1871" w:rsidR="00AD50F9" w:rsidRPr="00AD50F9" w:rsidRDefault="00687F56" w:rsidP="00AD50F9">
            <w:pPr>
              <w:spacing w:after="0" w:line="240" w:lineRule="auto"/>
              <w:jc w:val="center"/>
              <w:rPr>
                <w:rFonts w:eastAsia="Times New Roman" w:cs="Arial"/>
                <w:b/>
                <w:sz w:val="20"/>
                <w:szCs w:val="20"/>
                <w:lang w:eastAsia="sv-SE"/>
              </w:rPr>
            </w:pPr>
            <w:r>
              <w:rPr>
                <w:rFonts w:eastAsia="Times New Roman" w:cs="Arial"/>
                <w:b/>
                <w:sz w:val="20"/>
                <w:szCs w:val="20"/>
                <w:lang w:eastAsia="sv-SE"/>
              </w:rPr>
              <w:t>2017</w:t>
            </w:r>
          </w:p>
        </w:tc>
        <w:tc>
          <w:tcPr>
            <w:tcW w:w="567" w:type="dxa"/>
            <w:shd w:val="clear" w:color="auto" w:fill="FFFF00"/>
          </w:tcPr>
          <w:p w14:paraId="3FF8EB72" w14:textId="44437760" w:rsidR="00AD50F9" w:rsidRPr="00AD50F9" w:rsidRDefault="00687F56" w:rsidP="00AD50F9">
            <w:pPr>
              <w:spacing w:after="0" w:line="240" w:lineRule="auto"/>
              <w:jc w:val="center"/>
              <w:rPr>
                <w:rFonts w:eastAsia="Times New Roman" w:cs="Arial"/>
                <w:b/>
                <w:sz w:val="20"/>
                <w:szCs w:val="20"/>
                <w:lang w:eastAsia="sv-SE"/>
              </w:rPr>
            </w:pPr>
            <w:r>
              <w:rPr>
                <w:rFonts w:eastAsia="Times New Roman" w:cs="Arial"/>
                <w:b/>
                <w:sz w:val="20"/>
                <w:szCs w:val="20"/>
                <w:lang w:eastAsia="sv-SE"/>
              </w:rPr>
              <w:t>2018</w:t>
            </w:r>
          </w:p>
        </w:tc>
        <w:tc>
          <w:tcPr>
            <w:tcW w:w="567" w:type="dxa"/>
            <w:shd w:val="clear" w:color="auto" w:fill="FFFF00"/>
          </w:tcPr>
          <w:p w14:paraId="4B6D414A" w14:textId="2EA90616" w:rsidR="00AD50F9" w:rsidRPr="00AD50F9" w:rsidRDefault="00687F56" w:rsidP="00AD50F9">
            <w:pPr>
              <w:spacing w:after="0" w:line="240" w:lineRule="auto"/>
              <w:jc w:val="center"/>
              <w:rPr>
                <w:rFonts w:eastAsia="Times New Roman" w:cs="Arial"/>
                <w:b/>
                <w:sz w:val="20"/>
                <w:szCs w:val="20"/>
                <w:lang w:eastAsia="sv-SE"/>
              </w:rPr>
            </w:pPr>
            <w:r>
              <w:rPr>
                <w:rFonts w:eastAsia="Times New Roman" w:cs="Arial"/>
                <w:b/>
                <w:sz w:val="20"/>
                <w:szCs w:val="20"/>
                <w:lang w:eastAsia="sv-SE"/>
              </w:rPr>
              <w:t>2019</w:t>
            </w:r>
          </w:p>
        </w:tc>
      </w:tr>
      <w:tr w:rsidR="009A1B16" w:rsidRPr="005F4BC4" w14:paraId="34A18848" w14:textId="77777777" w:rsidTr="00AD50F9">
        <w:trPr>
          <w:trHeight w:val="255"/>
        </w:trPr>
        <w:tc>
          <w:tcPr>
            <w:tcW w:w="4199" w:type="dxa"/>
            <w:shd w:val="clear" w:color="auto" w:fill="auto"/>
            <w:noWrap/>
            <w:vAlign w:val="bottom"/>
            <w:hideMark/>
          </w:tcPr>
          <w:p w14:paraId="63566BD3" w14:textId="77777777" w:rsidR="009A1B16" w:rsidRPr="00AD50F9" w:rsidRDefault="009A1B16" w:rsidP="009A1B16">
            <w:pPr>
              <w:spacing w:after="0" w:line="240" w:lineRule="auto"/>
              <w:rPr>
                <w:rFonts w:eastAsia="Times New Roman" w:cs="Arial"/>
                <w:sz w:val="20"/>
                <w:szCs w:val="20"/>
                <w:lang w:eastAsia="sv-SE"/>
              </w:rPr>
            </w:pPr>
            <w:r w:rsidRPr="00AD50F9">
              <w:rPr>
                <w:rFonts w:eastAsia="Times New Roman" w:cs="Arial"/>
                <w:sz w:val="20"/>
                <w:szCs w:val="20"/>
                <w:lang w:eastAsia="sv-SE"/>
              </w:rPr>
              <w:t>Antal skador per 100 anställda</w:t>
            </w:r>
          </w:p>
        </w:tc>
        <w:tc>
          <w:tcPr>
            <w:tcW w:w="586" w:type="dxa"/>
            <w:shd w:val="clear" w:color="auto" w:fill="auto"/>
            <w:noWrap/>
            <w:vAlign w:val="bottom"/>
          </w:tcPr>
          <w:p w14:paraId="057357CC" w14:textId="3A24F5A4" w:rsidR="009A1B16" w:rsidRPr="00AD50F9" w:rsidRDefault="009A1B16" w:rsidP="009A1B16">
            <w:pPr>
              <w:spacing w:after="0" w:line="240" w:lineRule="auto"/>
              <w:jc w:val="center"/>
              <w:rPr>
                <w:rFonts w:eastAsia="Times New Roman" w:cs="Arial"/>
                <w:sz w:val="20"/>
                <w:szCs w:val="20"/>
                <w:lang w:eastAsia="sv-SE"/>
              </w:rPr>
            </w:pPr>
            <w:r>
              <w:rPr>
                <w:rFonts w:eastAsia="Times New Roman" w:cs="Arial"/>
                <w:sz w:val="20"/>
                <w:szCs w:val="20"/>
                <w:lang w:eastAsia="sv-SE"/>
              </w:rPr>
              <w:t>2,7</w:t>
            </w:r>
          </w:p>
        </w:tc>
        <w:tc>
          <w:tcPr>
            <w:tcW w:w="567" w:type="dxa"/>
            <w:shd w:val="clear" w:color="auto" w:fill="auto"/>
            <w:noWrap/>
            <w:vAlign w:val="bottom"/>
          </w:tcPr>
          <w:p w14:paraId="34FBCDEE" w14:textId="3E78AB2F" w:rsidR="009A1B16" w:rsidRPr="00AD50F9" w:rsidRDefault="009A1B16" w:rsidP="009A1B16">
            <w:pPr>
              <w:spacing w:after="0" w:line="240" w:lineRule="auto"/>
              <w:jc w:val="center"/>
              <w:rPr>
                <w:rFonts w:eastAsia="Times New Roman" w:cs="Arial"/>
                <w:sz w:val="20"/>
                <w:szCs w:val="20"/>
                <w:lang w:eastAsia="sv-SE"/>
              </w:rPr>
            </w:pPr>
            <w:r w:rsidRPr="00AD50F9">
              <w:rPr>
                <w:rFonts w:eastAsia="Times New Roman" w:cs="Arial"/>
                <w:sz w:val="20"/>
                <w:szCs w:val="20"/>
                <w:lang w:eastAsia="sv-SE"/>
              </w:rPr>
              <w:t>2,</w:t>
            </w:r>
            <w:r>
              <w:rPr>
                <w:rFonts w:eastAsia="Times New Roman" w:cs="Arial"/>
                <w:sz w:val="20"/>
                <w:szCs w:val="20"/>
                <w:lang w:eastAsia="sv-SE"/>
              </w:rPr>
              <w:t>3</w:t>
            </w:r>
          </w:p>
        </w:tc>
        <w:tc>
          <w:tcPr>
            <w:tcW w:w="567" w:type="dxa"/>
            <w:shd w:val="clear" w:color="auto" w:fill="auto"/>
            <w:noWrap/>
          </w:tcPr>
          <w:p w14:paraId="3B17EC5E" w14:textId="4078EB56" w:rsidR="009A1B16" w:rsidRPr="00AD50F9" w:rsidRDefault="009A1B16" w:rsidP="009A1B16">
            <w:pPr>
              <w:spacing w:after="0" w:line="240" w:lineRule="auto"/>
              <w:jc w:val="center"/>
              <w:rPr>
                <w:rFonts w:eastAsia="Times New Roman" w:cs="Arial"/>
                <w:sz w:val="20"/>
                <w:szCs w:val="20"/>
                <w:lang w:eastAsia="sv-SE"/>
              </w:rPr>
            </w:pPr>
            <w:r>
              <w:rPr>
                <w:rFonts w:eastAsia="Times New Roman" w:cs="Arial"/>
                <w:sz w:val="20"/>
                <w:szCs w:val="20"/>
                <w:lang w:eastAsia="sv-SE"/>
              </w:rPr>
              <w:t>1,9</w:t>
            </w:r>
          </w:p>
        </w:tc>
        <w:tc>
          <w:tcPr>
            <w:tcW w:w="567" w:type="dxa"/>
          </w:tcPr>
          <w:p w14:paraId="1FD3A1E0" w14:textId="7F9F1B05" w:rsidR="009A1B16" w:rsidRPr="00AD50F9" w:rsidRDefault="009A1B16" w:rsidP="009A1B16">
            <w:pPr>
              <w:spacing w:after="0" w:line="240" w:lineRule="auto"/>
              <w:jc w:val="center"/>
              <w:rPr>
                <w:rFonts w:eastAsia="Times New Roman" w:cs="Arial"/>
                <w:sz w:val="20"/>
                <w:szCs w:val="20"/>
                <w:lang w:eastAsia="sv-SE"/>
              </w:rPr>
            </w:pPr>
            <w:r w:rsidRPr="00AD50F9">
              <w:rPr>
                <w:rFonts w:eastAsia="Times New Roman" w:cs="Arial"/>
                <w:sz w:val="20"/>
                <w:szCs w:val="20"/>
                <w:lang w:eastAsia="sv-SE"/>
              </w:rPr>
              <w:t>1,</w:t>
            </w:r>
            <w:r>
              <w:rPr>
                <w:rFonts w:eastAsia="Times New Roman" w:cs="Arial"/>
                <w:sz w:val="20"/>
                <w:szCs w:val="20"/>
                <w:lang w:eastAsia="sv-SE"/>
              </w:rPr>
              <w:t>3</w:t>
            </w:r>
          </w:p>
        </w:tc>
        <w:tc>
          <w:tcPr>
            <w:tcW w:w="567" w:type="dxa"/>
            <w:vAlign w:val="center"/>
          </w:tcPr>
          <w:p w14:paraId="14F5CC0B" w14:textId="0AE807D3" w:rsidR="009A1B16" w:rsidRPr="00AD50F9" w:rsidRDefault="009A1B16" w:rsidP="009A1B16">
            <w:pPr>
              <w:spacing w:after="0" w:line="240" w:lineRule="auto"/>
              <w:jc w:val="center"/>
              <w:rPr>
                <w:rFonts w:eastAsia="Times New Roman" w:cs="Arial"/>
                <w:sz w:val="20"/>
                <w:szCs w:val="20"/>
                <w:lang w:eastAsia="sv-SE"/>
              </w:rPr>
            </w:pPr>
            <w:r>
              <w:rPr>
                <w:sz w:val="20"/>
                <w:szCs w:val="20"/>
                <w:lang w:eastAsia="sv-SE"/>
              </w:rPr>
              <w:t>1,2 </w:t>
            </w:r>
          </w:p>
        </w:tc>
      </w:tr>
      <w:tr w:rsidR="009A1B16" w:rsidRPr="005F4BC4" w14:paraId="379A033C" w14:textId="77777777" w:rsidTr="00AD50F9">
        <w:trPr>
          <w:trHeight w:val="510"/>
        </w:trPr>
        <w:tc>
          <w:tcPr>
            <w:tcW w:w="4199" w:type="dxa"/>
            <w:shd w:val="clear" w:color="auto" w:fill="auto"/>
            <w:vAlign w:val="bottom"/>
            <w:hideMark/>
          </w:tcPr>
          <w:p w14:paraId="33F5F42B" w14:textId="77777777" w:rsidR="009A1B16" w:rsidRPr="00AD50F9" w:rsidRDefault="009A1B16" w:rsidP="009A1B16">
            <w:pPr>
              <w:spacing w:after="0" w:line="240" w:lineRule="auto"/>
              <w:rPr>
                <w:rFonts w:eastAsia="Times New Roman" w:cs="Arial"/>
                <w:sz w:val="20"/>
                <w:szCs w:val="20"/>
                <w:lang w:eastAsia="sv-SE"/>
              </w:rPr>
            </w:pPr>
            <w:r w:rsidRPr="00AD50F9">
              <w:rPr>
                <w:rFonts w:eastAsia="Times New Roman" w:cs="Arial"/>
                <w:sz w:val="20"/>
                <w:szCs w:val="20"/>
                <w:lang w:eastAsia="sv-SE"/>
              </w:rPr>
              <w:t>Frånvarodagar på grund av olycksfall i arbetet eller arbetsrelaterad sjukdom per 100 anställda</w:t>
            </w:r>
          </w:p>
        </w:tc>
        <w:tc>
          <w:tcPr>
            <w:tcW w:w="586" w:type="dxa"/>
            <w:shd w:val="clear" w:color="auto" w:fill="auto"/>
            <w:noWrap/>
            <w:vAlign w:val="center"/>
          </w:tcPr>
          <w:p w14:paraId="7DA4F06E" w14:textId="230EDF33" w:rsidR="009A1B16" w:rsidRPr="00AD50F9" w:rsidRDefault="009A1B16" w:rsidP="009A1B16">
            <w:pPr>
              <w:spacing w:after="0" w:line="240" w:lineRule="auto"/>
              <w:jc w:val="center"/>
              <w:rPr>
                <w:rFonts w:eastAsia="Times New Roman" w:cs="Arial"/>
                <w:sz w:val="20"/>
                <w:szCs w:val="20"/>
                <w:lang w:eastAsia="sv-SE"/>
              </w:rPr>
            </w:pPr>
            <w:r>
              <w:rPr>
                <w:rFonts w:eastAsia="Times New Roman" w:cs="Arial"/>
                <w:sz w:val="20"/>
                <w:szCs w:val="20"/>
                <w:lang w:eastAsia="sv-SE"/>
              </w:rPr>
              <w:t>0</w:t>
            </w:r>
          </w:p>
        </w:tc>
        <w:tc>
          <w:tcPr>
            <w:tcW w:w="567" w:type="dxa"/>
            <w:shd w:val="clear" w:color="auto" w:fill="auto"/>
            <w:noWrap/>
            <w:vAlign w:val="center"/>
          </w:tcPr>
          <w:p w14:paraId="3BA8B1DC" w14:textId="40578D63" w:rsidR="009A1B16" w:rsidRPr="00AD50F9" w:rsidRDefault="009A1B16" w:rsidP="009A1B16">
            <w:pPr>
              <w:spacing w:after="0" w:line="240" w:lineRule="auto"/>
              <w:jc w:val="center"/>
              <w:rPr>
                <w:rFonts w:eastAsia="Times New Roman" w:cs="Arial"/>
                <w:sz w:val="20"/>
                <w:szCs w:val="20"/>
                <w:lang w:eastAsia="sv-SE"/>
              </w:rPr>
            </w:pPr>
            <w:r w:rsidRPr="00AD50F9">
              <w:rPr>
                <w:rFonts w:eastAsia="Times New Roman" w:cs="Arial"/>
                <w:sz w:val="20"/>
                <w:szCs w:val="20"/>
                <w:lang w:eastAsia="sv-SE"/>
              </w:rPr>
              <w:t>0</w:t>
            </w:r>
          </w:p>
        </w:tc>
        <w:tc>
          <w:tcPr>
            <w:tcW w:w="567" w:type="dxa"/>
            <w:shd w:val="clear" w:color="auto" w:fill="auto"/>
            <w:noWrap/>
            <w:vAlign w:val="center"/>
          </w:tcPr>
          <w:p w14:paraId="51BC0F2D" w14:textId="6C2D4B72" w:rsidR="009A1B16" w:rsidRPr="00AD50F9" w:rsidRDefault="009A1B16" w:rsidP="009A1B16">
            <w:pPr>
              <w:spacing w:after="0" w:line="240" w:lineRule="auto"/>
              <w:jc w:val="center"/>
              <w:rPr>
                <w:rFonts w:eastAsia="Times New Roman" w:cs="Arial"/>
                <w:sz w:val="20"/>
                <w:szCs w:val="20"/>
                <w:lang w:eastAsia="sv-SE"/>
              </w:rPr>
            </w:pPr>
            <w:r w:rsidRPr="00AD50F9">
              <w:rPr>
                <w:rFonts w:eastAsia="Times New Roman" w:cs="Arial"/>
                <w:sz w:val="20"/>
                <w:szCs w:val="20"/>
                <w:lang w:eastAsia="sv-SE"/>
              </w:rPr>
              <w:t>0</w:t>
            </w:r>
          </w:p>
        </w:tc>
        <w:tc>
          <w:tcPr>
            <w:tcW w:w="567" w:type="dxa"/>
            <w:vAlign w:val="center"/>
          </w:tcPr>
          <w:p w14:paraId="369F0B6A" w14:textId="3C2E3C0D" w:rsidR="009A1B16" w:rsidRPr="00AD50F9" w:rsidRDefault="009A1B16" w:rsidP="009A1B16">
            <w:pPr>
              <w:spacing w:after="0" w:line="240" w:lineRule="auto"/>
              <w:jc w:val="center"/>
              <w:rPr>
                <w:rFonts w:eastAsia="Times New Roman" w:cs="Arial"/>
                <w:sz w:val="20"/>
                <w:szCs w:val="20"/>
                <w:lang w:eastAsia="sv-SE"/>
              </w:rPr>
            </w:pPr>
            <w:r w:rsidRPr="00AD50F9">
              <w:rPr>
                <w:rFonts w:eastAsia="Times New Roman" w:cs="Arial"/>
                <w:sz w:val="20"/>
                <w:szCs w:val="20"/>
                <w:lang w:eastAsia="sv-SE"/>
              </w:rPr>
              <w:t>0</w:t>
            </w:r>
          </w:p>
        </w:tc>
        <w:tc>
          <w:tcPr>
            <w:tcW w:w="567" w:type="dxa"/>
            <w:vAlign w:val="center"/>
          </w:tcPr>
          <w:p w14:paraId="0E85A1BA" w14:textId="0280E5C0" w:rsidR="009A1B16" w:rsidRPr="00AD50F9" w:rsidRDefault="009A1B16" w:rsidP="009A1B16">
            <w:pPr>
              <w:spacing w:after="0" w:line="240" w:lineRule="auto"/>
              <w:jc w:val="center"/>
              <w:rPr>
                <w:rFonts w:eastAsia="Times New Roman" w:cs="Arial"/>
                <w:sz w:val="20"/>
                <w:szCs w:val="20"/>
                <w:lang w:eastAsia="sv-SE"/>
              </w:rPr>
            </w:pPr>
            <w:r>
              <w:rPr>
                <w:color w:val="1F497D"/>
                <w:sz w:val="20"/>
                <w:szCs w:val="20"/>
                <w:lang w:eastAsia="sv-SE"/>
              </w:rPr>
              <w:t>0</w:t>
            </w:r>
            <w:r>
              <w:rPr>
                <w:sz w:val="20"/>
                <w:szCs w:val="20"/>
                <w:lang w:eastAsia="sv-SE"/>
              </w:rPr>
              <w:t> </w:t>
            </w:r>
          </w:p>
        </w:tc>
      </w:tr>
      <w:tr w:rsidR="009A1B16" w:rsidRPr="005F4BC4" w14:paraId="430EB08A" w14:textId="77777777" w:rsidTr="00AD50F9">
        <w:trPr>
          <w:trHeight w:val="255"/>
        </w:trPr>
        <w:tc>
          <w:tcPr>
            <w:tcW w:w="4199" w:type="dxa"/>
            <w:shd w:val="clear" w:color="auto" w:fill="auto"/>
            <w:noWrap/>
            <w:vAlign w:val="bottom"/>
            <w:hideMark/>
          </w:tcPr>
          <w:p w14:paraId="2A7AE426" w14:textId="77777777" w:rsidR="009A1B16" w:rsidRPr="00AD50F9" w:rsidRDefault="009A1B16" w:rsidP="009A1B16">
            <w:pPr>
              <w:spacing w:after="0" w:line="240" w:lineRule="auto"/>
              <w:rPr>
                <w:rFonts w:eastAsia="Times New Roman" w:cs="Arial"/>
                <w:sz w:val="20"/>
                <w:szCs w:val="20"/>
                <w:lang w:eastAsia="sv-SE"/>
              </w:rPr>
            </w:pPr>
            <w:r w:rsidRPr="00AD50F9">
              <w:rPr>
                <w:rFonts w:eastAsia="Times New Roman" w:cs="Arial"/>
                <w:sz w:val="20"/>
                <w:szCs w:val="20"/>
                <w:lang w:eastAsia="sv-SE"/>
              </w:rPr>
              <w:t>Sjukfrånvaro (dagar) per anställd</w:t>
            </w:r>
          </w:p>
        </w:tc>
        <w:tc>
          <w:tcPr>
            <w:tcW w:w="586" w:type="dxa"/>
            <w:shd w:val="clear" w:color="auto" w:fill="auto"/>
            <w:noWrap/>
            <w:vAlign w:val="bottom"/>
          </w:tcPr>
          <w:p w14:paraId="478F46FE" w14:textId="21A04EBC" w:rsidR="009A1B16" w:rsidRPr="00AD50F9" w:rsidRDefault="009A1B16" w:rsidP="009A1B16">
            <w:pPr>
              <w:spacing w:after="0" w:line="240" w:lineRule="auto"/>
              <w:jc w:val="center"/>
              <w:rPr>
                <w:rFonts w:eastAsia="Times New Roman" w:cs="Arial"/>
                <w:sz w:val="20"/>
                <w:szCs w:val="20"/>
                <w:lang w:eastAsia="sv-SE"/>
              </w:rPr>
            </w:pPr>
            <w:r>
              <w:rPr>
                <w:rFonts w:eastAsia="Times New Roman" w:cs="Arial"/>
                <w:sz w:val="20"/>
                <w:szCs w:val="20"/>
                <w:lang w:eastAsia="sv-SE"/>
              </w:rPr>
              <w:t>17,8</w:t>
            </w:r>
          </w:p>
        </w:tc>
        <w:tc>
          <w:tcPr>
            <w:tcW w:w="567" w:type="dxa"/>
            <w:shd w:val="clear" w:color="auto" w:fill="auto"/>
            <w:noWrap/>
            <w:vAlign w:val="bottom"/>
          </w:tcPr>
          <w:p w14:paraId="5EA35929" w14:textId="7D828CDF" w:rsidR="009A1B16" w:rsidRPr="00AD50F9" w:rsidRDefault="009A1B16" w:rsidP="009A1B16">
            <w:pPr>
              <w:spacing w:after="0" w:line="240" w:lineRule="auto"/>
              <w:jc w:val="center"/>
              <w:rPr>
                <w:rFonts w:eastAsia="Times New Roman" w:cs="Arial"/>
                <w:sz w:val="20"/>
                <w:szCs w:val="20"/>
                <w:lang w:eastAsia="sv-SE"/>
              </w:rPr>
            </w:pPr>
            <w:r w:rsidRPr="00AD50F9">
              <w:rPr>
                <w:rFonts w:eastAsia="Times New Roman" w:cs="Arial"/>
                <w:sz w:val="20"/>
                <w:szCs w:val="20"/>
                <w:lang w:eastAsia="sv-SE"/>
              </w:rPr>
              <w:t>1</w:t>
            </w:r>
            <w:r>
              <w:rPr>
                <w:rFonts w:eastAsia="Times New Roman" w:cs="Arial"/>
                <w:sz w:val="20"/>
                <w:szCs w:val="20"/>
                <w:lang w:eastAsia="sv-SE"/>
              </w:rPr>
              <w:t>2,6</w:t>
            </w:r>
          </w:p>
        </w:tc>
        <w:tc>
          <w:tcPr>
            <w:tcW w:w="567" w:type="dxa"/>
            <w:shd w:val="clear" w:color="auto" w:fill="auto"/>
            <w:noWrap/>
          </w:tcPr>
          <w:p w14:paraId="3BA06066" w14:textId="40147647" w:rsidR="009A1B16" w:rsidRPr="00AD50F9" w:rsidRDefault="009A1B16" w:rsidP="009A1B16">
            <w:pPr>
              <w:spacing w:after="0" w:line="240" w:lineRule="auto"/>
              <w:jc w:val="center"/>
              <w:rPr>
                <w:rFonts w:eastAsia="Times New Roman" w:cs="Arial"/>
                <w:sz w:val="20"/>
                <w:szCs w:val="20"/>
                <w:lang w:eastAsia="sv-SE"/>
              </w:rPr>
            </w:pPr>
            <w:r w:rsidRPr="00AD50F9">
              <w:rPr>
                <w:rFonts w:eastAsia="Times New Roman" w:cs="Arial"/>
                <w:sz w:val="20"/>
                <w:szCs w:val="20"/>
                <w:lang w:eastAsia="sv-SE"/>
              </w:rPr>
              <w:t>1</w:t>
            </w:r>
            <w:r>
              <w:rPr>
                <w:rFonts w:eastAsia="Times New Roman" w:cs="Arial"/>
                <w:sz w:val="20"/>
                <w:szCs w:val="20"/>
                <w:lang w:eastAsia="sv-SE"/>
              </w:rPr>
              <w:t>2,7</w:t>
            </w:r>
          </w:p>
        </w:tc>
        <w:tc>
          <w:tcPr>
            <w:tcW w:w="567" w:type="dxa"/>
          </w:tcPr>
          <w:p w14:paraId="129EEF1E" w14:textId="79DDE1B9" w:rsidR="009A1B16" w:rsidRPr="00AD50F9" w:rsidRDefault="009A1B16" w:rsidP="009A1B16">
            <w:pPr>
              <w:spacing w:after="0" w:line="240" w:lineRule="auto"/>
              <w:jc w:val="center"/>
              <w:rPr>
                <w:rFonts w:eastAsia="Times New Roman" w:cs="Arial"/>
                <w:sz w:val="20"/>
                <w:szCs w:val="20"/>
                <w:lang w:eastAsia="sv-SE"/>
              </w:rPr>
            </w:pPr>
            <w:r>
              <w:rPr>
                <w:rFonts w:eastAsia="Times New Roman" w:cs="Arial"/>
                <w:sz w:val="20"/>
                <w:szCs w:val="20"/>
                <w:lang w:eastAsia="sv-SE"/>
              </w:rPr>
              <w:t>9,7</w:t>
            </w:r>
          </w:p>
        </w:tc>
        <w:tc>
          <w:tcPr>
            <w:tcW w:w="567" w:type="dxa"/>
            <w:vAlign w:val="center"/>
          </w:tcPr>
          <w:p w14:paraId="7647FF01" w14:textId="25FA9DCA" w:rsidR="009A1B16" w:rsidRPr="00AD50F9" w:rsidRDefault="009A1B16" w:rsidP="009A1B16">
            <w:pPr>
              <w:spacing w:after="0" w:line="240" w:lineRule="auto"/>
              <w:jc w:val="center"/>
              <w:rPr>
                <w:rFonts w:eastAsia="Times New Roman" w:cs="Arial"/>
                <w:sz w:val="20"/>
                <w:szCs w:val="20"/>
                <w:lang w:eastAsia="sv-SE"/>
              </w:rPr>
            </w:pPr>
            <w:r>
              <w:rPr>
                <w:sz w:val="20"/>
                <w:szCs w:val="20"/>
                <w:lang w:eastAsia="sv-SE"/>
              </w:rPr>
              <w:t>8,1</w:t>
            </w:r>
          </w:p>
        </w:tc>
      </w:tr>
    </w:tbl>
    <w:p w14:paraId="25977C9F" w14:textId="77777777" w:rsidR="007B3C9F" w:rsidRPr="005F4BC4" w:rsidRDefault="007B3C9F" w:rsidP="00C316EC">
      <w:pPr>
        <w:ind w:left="360"/>
        <w:rPr>
          <w:color w:val="000000" w:themeColor="text1"/>
          <w:highlight w:val="yellow"/>
        </w:rPr>
      </w:pPr>
    </w:p>
    <w:tbl>
      <w:tblPr>
        <w:tblW w:w="6989" w:type="dxa"/>
        <w:tblInd w:w="4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234"/>
        <w:gridCol w:w="546"/>
        <w:gridCol w:w="546"/>
        <w:gridCol w:w="546"/>
        <w:gridCol w:w="546"/>
        <w:gridCol w:w="580"/>
      </w:tblGrid>
      <w:tr w:rsidR="00687F56" w:rsidRPr="005F4BC4" w14:paraId="06E630B0" w14:textId="16150CED" w:rsidTr="00687F56">
        <w:trPr>
          <w:trHeight w:val="255"/>
        </w:trPr>
        <w:tc>
          <w:tcPr>
            <w:tcW w:w="4234" w:type="dxa"/>
            <w:shd w:val="clear" w:color="auto" w:fill="0070C0"/>
            <w:noWrap/>
            <w:vAlign w:val="bottom"/>
            <w:hideMark/>
          </w:tcPr>
          <w:p w14:paraId="637D7DBB" w14:textId="77777777" w:rsidR="00687F56" w:rsidRPr="00AD50F9" w:rsidRDefault="00687F56" w:rsidP="003D400A">
            <w:pPr>
              <w:spacing w:after="0" w:line="240" w:lineRule="auto"/>
              <w:rPr>
                <w:rFonts w:eastAsia="Times New Roman" w:cs="Arial"/>
                <w:b/>
                <w:bCs/>
                <w:sz w:val="20"/>
                <w:szCs w:val="20"/>
                <w:lang w:eastAsia="sv-SE"/>
              </w:rPr>
            </w:pPr>
            <w:r w:rsidRPr="00AD50F9">
              <w:rPr>
                <w:rFonts w:eastAsia="Times New Roman" w:cs="Arial"/>
                <w:b/>
                <w:bCs/>
                <w:sz w:val="20"/>
                <w:szCs w:val="20"/>
                <w:lang w:eastAsia="sv-SE"/>
              </w:rPr>
              <w:t>Olyckor och frånvaro Bilreda</w:t>
            </w:r>
          </w:p>
        </w:tc>
        <w:tc>
          <w:tcPr>
            <w:tcW w:w="546" w:type="dxa"/>
            <w:shd w:val="clear" w:color="auto" w:fill="0070C0"/>
            <w:noWrap/>
            <w:vAlign w:val="bottom"/>
          </w:tcPr>
          <w:p w14:paraId="604D69BD" w14:textId="77777777" w:rsidR="00687F56" w:rsidRPr="00AD50F9" w:rsidRDefault="00687F56" w:rsidP="003D400A">
            <w:pPr>
              <w:spacing w:after="0" w:line="240" w:lineRule="auto"/>
              <w:jc w:val="center"/>
              <w:rPr>
                <w:rFonts w:eastAsia="Times New Roman" w:cs="Arial"/>
                <w:b/>
                <w:sz w:val="20"/>
                <w:szCs w:val="20"/>
                <w:lang w:eastAsia="sv-SE"/>
              </w:rPr>
            </w:pPr>
            <w:r w:rsidRPr="00AD50F9">
              <w:rPr>
                <w:rFonts w:eastAsia="Times New Roman" w:cs="Arial"/>
                <w:b/>
                <w:sz w:val="20"/>
                <w:szCs w:val="20"/>
                <w:lang w:eastAsia="sv-SE"/>
              </w:rPr>
              <w:t>2015</w:t>
            </w:r>
          </w:p>
        </w:tc>
        <w:tc>
          <w:tcPr>
            <w:tcW w:w="571" w:type="dxa"/>
            <w:shd w:val="clear" w:color="auto" w:fill="0070C0"/>
          </w:tcPr>
          <w:p w14:paraId="14DE6CB3" w14:textId="77777777" w:rsidR="00687F56" w:rsidRPr="00AD50F9" w:rsidRDefault="00687F56" w:rsidP="003D400A">
            <w:pPr>
              <w:spacing w:after="0" w:line="240" w:lineRule="auto"/>
              <w:jc w:val="center"/>
              <w:rPr>
                <w:rFonts w:eastAsia="Times New Roman" w:cs="Arial"/>
                <w:b/>
                <w:sz w:val="20"/>
                <w:szCs w:val="20"/>
                <w:lang w:eastAsia="sv-SE"/>
              </w:rPr>
            </w:pPr>
            <w:r w:rsidRPr="00AD50F9">
              <w:rPr>
                <w:rFonts w:eastAsia="Times New Roman" w:cs="Arial"/>
                <w:b/>
                <w:sz w:val="20"/>
                <w:szCs w:val="20"/>
                <w:lang w:eastAsia="sv-SE"/>
              </w:rPr>
              <w:t>2016</w:t>
            </w:r>
          </w:p>
        </w:tc>
        <w:tc>
          <w:tcPr>
            <w:tcW w:w="546" w:type="dxa"/>
            <w:shd w:val="clear" w:color="auto" w:fill="0070C0"/>
          </w:tcPr>
          <w:p w14:paraId="33FCDE3A" w14:textId="77777777" w:rsidR="00687F56" w:rsidRPr="00AD50F9" w:rsidRDefault="00687F56" w:rsidP="003D400A">
            <w:pPr>
              <w:spacing w:after="0" w:line="240" w:lineRule="auto"/>
              <w:jc w:val="center"/>
              <w:rPr>
                <w:rFonts w:eastAsia="Times New Roman" w:cs="Arial"/>
                <w:b/>
                <w:sz w:val="20"/>
                <w:szCs w:val="20"/>
                <w:lang w:eastAsia="sv-SE"/>
              </w:rPr>
            </w:pPr>
            <w:r w:rsidRPr="00AD50F9">
              <w:rPr>
                <w:rFonts w:eastAsia="Times New Roman" w:cs="Arial"/>
                <w:b/>
                <w:sz w:val="20"/>
                <w:szCs w:val="20"/>
                <w:lang w:eastAsia="sv-SE"/>
              </w:rPr>
              <w:t>2017</w:t>
            </w:r>
          </w:p>
        </w:tc>
        <w:tc>
          <w:tcPr>
            <w:tcW w:w="546" w:type="dxa"/>
            <w:shd w:val="clear" w:color="auto" w:fill="0070C0"/>
            <w:vAlign w:val="center"/>
          </w:tcPr>
          <w:p w14:paraId="09CFA1E9" w14:textId="4F324C1F" w:rsidR="00687F56" w:rsidRPr="00AD50F9" w:rsidRDefault="00687F56" w:rsidP="003D400A">
            <w:pPr>
              <w:spacing w:after="0" w:line="240" w:lineRule="auto"/>
              <w:jc w:val="center"/>
              <w:rPr>
                <w:rFonts w:eastAsia="Times New Roman" w:cs="Arial"/>
                <w:b/>
                <w:sz w:val="20"/>
                <w:szCs w:val="20"/>
                <w:lang w:eastAsia="sv-SE"/>
              </w:rPr>
            </w:pPr>
            <w:r>
              <w:rPr>
                <w:rFonts w:eastAsia="Times New Roman" w:cs="Arial"/>
                <w:b/>
                <w:sz w:val="20"/>
                <w:szCs w:val="20"/>
                <w:lang w:eastAsia="sv-SE"/>
              </w:rPr>
              <w:t>2018</w:t>
            </w:r>
          </w:p>
        </w:tc>
        <w:tc>
          <w:tcPr>
            <w:tcW w:w="546" w:type="dxa"/>
            <w:shd w:val="clear" w:color="auto" w:fill="0070C0"/>
          </w:tcPr>
          <w:p w14:paraId="409DA329" w14:textId="22914D0B" w:rsidR="00687F56" w:rsidRDefault="00687F56" w:rsidP="003D400A">
            <w:pPr>
              <w:spacing w:after="0" w:line="240" w:lineRule="auto"/>
              <w:jc w:val="center"/>
              <w:rPr>
                <w:rFonts w:eastAsia="Times New Roman" w:cs="Arial"/>
                <w:b/>
                <w:sz w:val="20"/>
                <w:szCs w:val="20"/>
                <w:lang w:eastAsia="sv-SE"/>
              </w:rPr>
            </w:pPr>
            <w:r>
              <w:rPr>
                <w:rFonts w:eastAsia="Times New Roman" w:cs="Arial"/>
                <w:b/>
                <w:sz w:val="20"/>
                <w:szCs w:val="20"/>
                <w:lang w:eastAsia="sv-SE"/>
              </w:rPr>
              <w:t>2019</w:t>
            </w:r>
          </w:p>
        </w:tc>
      </w:tr>
      <w:tr w:rsidR="009A1B16" w:rsidRPr="005F4BC4" w14:paraId="5A906FDD" w14:textId="7A89252C" w:rsidTr="00687F56">
        <w:trPr>
          <w:trHeight w:val="255"/>
        </w:trPr>
        <w:tc>
          <w:tcPr>
            <w:tcW w:w="4234" w:type="dxa"/>
            <w:shd w:val="clear" w:color="auto" w:fill="auto"/>
            <w:noWrap/>
            <w:vAlign w:val="bottom"/>
            <w:hideMark/>
          </w:tcPr>
          <w:p w14:paraId="47E68CB4" w14:textId="77777777" w:rsidR="009A1B16" w:rsidRPr="00AD50F9" w:rsidRDefault="009A1B16" w:rsidP="009A1B16">
            <w:pPr>
              <w:spacing w:after="0" w:line="240" w:lineRule="auto"/>
              <w:rPr>
                <w:rFonts w:eastAsia="Times New Roman" w:cs="Arial"/>
                <w:sz w:val="20"/>
                <w:szCs w:val="20"/>
                <w:lang w:eastAsia="sv-SE"/>
              </w:rPr>
            </w:pPr>
            <w:r w:rsidRPr="00AD50F9">
              <w:rPr>
                <w:rFonts w:eastAsia="Times New Roman" w:cs="Arial"/>
                <w:sz w:val="20"/>
                <w:szCs w:val="20"/>
                <w:lang w:eastAsia="sv-SE"/>
              </w:rPr>
              <w:t>Antal skador per 10 anställda</w:t>
            </w:r>
          </w:p>
        </w:tc>
        <w:tc>
          <w:tcPr>
            <w:tcW w:w="546" w:type="dxa"/>
            <w:shd w:val="clear" w:color="auto" w:fill="auto"/>
            <w:noWrap/>
            <w:vAlign w:val="bottom"/>
          </w:tcPr>
          <w:p w14:paraId="72B0BB24" w14:textId="77777777" w:rsidR="009A1B16" w:rsidRPr="00AD50F9" w:rsidRDefault="009A1B16" w:rsidP="009A1B16">
            <w:pPr>
              <w:spacing w:after="0" w:line="240" w:lineRule="auto"/>
              <w:jc w:val="center"/>
              <w:rPr>
                <w:rFonts w:eastAsia="Times New Roman" w:cs="Arial"/>
                <w:sz w:val="20"/>
                <w:szCs w:val="20"/>
                <w:lang w:eastAsia="sv-SE"/>
              </w:rPr>
            </w:pPr>
            <w:r w:rsidRPr="00AD50F9">
              <w:rPr>
                <w:rFonts w:ascii="Calibri" w:hAnsi="Calibri"/>
                <w:color w:val="000000"/>
              </w:rPr>
              <w:t>0</w:t>
            </w:r>
          </w:p>
        </w:tc>
        <w:tc>
          <w:tcPr>
            <w:tcW w:w="571" w:type="dxa"/>
          </w:tcPr>
          <w:p w14:paraId="0108478C" w14:textId="77777777" w:rsidR="009A1B16" w:rsidRPr="00AD50F9" w:rsidRDefault="009A1B16" w:rsidP="009A1B16">
            <w:pPr>
              <w:spacing w:after="0" w:line="240" w:lineRule="auto"/>
              <w:jc w:val="center"/>
              <w:rPr>
                <w:rFonts w:ascii="Calibri" w:hAnsi="Calibri"/>
                <w:color w:val="000000"/>
              </w:rPr>
            </w:pPr>
            <w:r w:rsidRPr="00AD50F9">
              <w:rPr>
                <w:rFonts w:ascii="Calibri" w:hAnsi="Calibri"/>
                <w:color w:val="000000"/>
              </w:rPr>
              <w:t>0</w:t>
            </w:r>
          </w:p>
        </w:tc>
        <w:tc>
          <w:tcPr>
            <w:tcW w:w="546" w:type="dxa"/>
          </w:tcPr>
          <w:p w14:paraId="35AD75E4" w14:textId="77777777" w:rsidR="009A1B16" w:rsidRPr="00AD50F9" w:rsidRDefault="009A1B16" w:rsidP="009A1B16">
            <w:pPr>
              <w:spacing w:after="0" w:line="240" w:lineRule="auto"/>
              <w:jc w:val="center"/>
              <w:rPr>
                <w:rFonts w:ascii="Calibri" w:hAnsi="Calibri"/>
                <w:color w:val="000000"/>
              </w:rPr>
            </w:pPr>
            <w:r w:rsidRPr="00AD50F9">
              <w:rPr>
                <w:rFonts w:ascii="Calibri" w:hAnsi="Calibri"/>
                <w:color w:val="000000"/>
              </w:rPr>
              <w:t>0</w:t>
            </w:r>
          </w:p>
        </w:tc>
        <w:tc>
          <w:tcPr>
            <w:tcW w:w="546" w:type="dxa"/>
            <w:vAlign w:val="center"/>
          </w:tcPr>
          <w:p w14:paraId="2C3B08D6" w14:textId="3AC64A25" w:rsidR="009A1B16" w:rsidRPr="00AD50F9" w:rsidRDefault="009A1B16" w:rsidP="009A1B16">
            <w:pPr>
              <w:spacing w:after="0" w:line="240" w:lineRule="auto"/>
              <w:jc w:val="center"/>
              <w:rPr>
                <w:rFonts w:ascii="Calibri" w:hAnsi="Calibri"/>
                <w:color w:val="000000"/>
              </w:rPr>
            </w:pPr>
            <w:r>
              <w:rPr>
                <w:rFonts w:ascii="Calibri" w:hAnsi="Calibri"/>
                <w:color w:val="000000"/>
              </w:rPr>
              <w:t>0</w:t>
            </w:r>
          </w:p>
        </w:tc>
        <w:tc>
          <w:tcPr>
            <w:tcW w:w="546" w:type="dxa"/>
          </w:tcPr>
          <w:p w14:paraId="7A63FB8C" w14:textId="3621E24A" w:rsidR="009A1B16" w:rsidRDefault="009A1B16" w:rsidP="009A1B16">
            <w:pPr>
              <w:spacing w:after="0" w:line="240" w:lineRule="auto"/>
              <w:jc w:val="both"/>
              <w:rPr>
                <w:rFonts w:ascii="Calibri" w:hAnsi="Calibri"/>
                <w:color w:val="000000"/>
              </w:rPr>
            </w:pPr>
            <w:r w:rsidRPr="009A1B16">
              <w:rPr>
                <w:rFonts w:ascii="Calibri" w:hAnsi="Calibri"/>
                <w:color w:val="000000"/>
              </w:rPr>
              <w:t> </w:t>
            </w:r>
            <w:r>
              <w:rPr>
                <w:rFonts w:ascii="Calibri" w:hAnsi="Calibri"/>
                <w:color w:val="000000"/>
              </w:rPr>
              <w:t xml:space="preserve">  </w:t>
            </w:r>
            <w:r w:rsidRPr="009A1B16">
              <w:rPr>
                <w:rFonts w:ascii="Calibri" w:hAnsi="Calibri"/>
                <w:color w:val="000000"/>
              </w:rPr>
              <w:t>0</w:t>
            </w:r>
          </w:p>
        </w:tc>
      </w:tr>
      <w:tr w:rsidR="009A1B16" w:rsidRPr="005F4BC4" w14:paraId="34B45BE3" w14:textId="68B61FB8" w:rsidTr="00687F56">
        <w:trPr>
          <w:trHeight w:val="510"/>
        </w:trPr>
        <w:tc>
          <w:tcPr>
            <w:tcW w:w="4234" w:type="dxa"/>
            <w:shd w:val="clear" w:color="auto" w:fill="auto"/>
            <w:vAlign w:val="bottom"/>
            <w:hideMark/>
          </w:tcPr>
          <w:p w14:paraId="722053E3" w14:textId="77777777" w:rsidR="009A1B16" w:rsidRPr="00AD50F9" w:rsidRDefault="009A1B16" w:rsidP="009A1B16">
            <w:pPr>
              <w:spacing w:after="0" w:line="240" w:lineRule="auto"/>
              <w:rPr>
                <w:rFonts w:eastAsia="Times New Roman" w:cs="Arial"/>
                <w:sz w:val="20"/>
                <w:szCs w:val="20"/>
                <w:lang w:eastAsia="sv-SE"/>
              </w:rPr>
            </w:pPr>
            <w:r w:rsidRPr="00AD50F9">
              <w:rPr>
                <w:rFonts w:eastAsia="Times New Roman" w:cs="Arial"/>
                <w:sz w:val="20"/>
                <w:szCs w:val="20"/>
                <w:lang w:eastAsia="sv-SE"/>
              </w:rPr>
              <w:t>Frånvarodagar på grund av olycksfall i arbetet eller arbetsrelaterad sjukdom per 10 anställda</w:t>
            </w:r>
          </w:p>
        </w:tc>
        <w:tc>
          <w:tcPr>
            <w:tcW w:w="546" w:type="dxa"/>
            <w:shd w:val="clear" w:color="auto" w:fill="auto"/>
            <w:noWrap/>
            <w:vAlign w:val="center"/>
          </w:tcPr>
          <w:p w14:paraId="5D3F2D2A" w14:textId="77777777" w:rsidR="009A1B16" w:rsidRPr="00AD50F9" w:rsidRDefault="009A1B16" w:rsidP="009A1B16">
            <w:pPr>
              <w:spacing w:after="0" w:line="240" w:lineRule="auto"/>
              <w:jc w:val="center"/>
              <w:rPr>
                <w:rFonts w:eastAsia="Times New Roman" w:cs="Arial"/>
                <w:sz w:val="20"/>
                <w:szCs w:val="20"/>
                <w:lang w:eastAsia="sv-SE"/>
              </w:rPr>
            </w:pPr>
            <w:r w:rsidRPr="00AD50F9">
              <w:rPr>
                <w:rFonts w:ascii="Calibri" w:hAnsi="Calibri"/>
                <w:color w:val="000000"/>
              </w:rPr>
              <w:t>0</w:t>
            </w:r>
          </w:p>
        </w:tc>
        <w:tc>
          <w:tcPr>
            <w:tcW w:w="571" w:type="dxa"/>
            <w:vAlign w:val="center"/>
          </w:tcPr>
          <w:p w14:paraId="5BB48E48" w14:textId="77777777" w:rsidR="009A1B16" w:rsidRPr="00AD50F9" w:rsidRDefault="009A1B16" w:rsidP="009A1B16">
            <w:pPr>
              <w:spacing w:after="0" w:line="240" w:lineRule="auto"/>
              <w:jc w:val="center"/>
              <w:rPr>
                <w:rFonts w:ascii="Calibri" w:hAnsi="Calibri"/>
                <w:color w:val="000000"/>
              </w:rPr>
            </w:pPr>
            <w:r w:rsidRPr="00AD50F9">
              <w:rPr>
                <w:rFonts w:ascii="Calibri" w:hAnsi="Calibri"/>
                <w:color w:val="000000"/>
              </w:rPr>
              <w:t>0</w:t>
            </w:r>
          </w:p>
        </w:tc>
        <w:tc>
          <w:tcPr>
            <w:tcW w:w="546" w:type="dxa"/>
            <w:vAlign w:val="center"/>
          </w:tcPr>
          <w:p w14:paraId="38C33AD2" w14:textId="77777777" w:rsidR="009A1B16" w:rsidRPr="00AD50F9" w:rsidRDefault="009A1B16" w:rsidP="009A1B16">
            <w:pPr>
              <w:spacing w:after="0" w:line="240" w:lineRule="auto"/>
              <w:jc w:val="center"/>
              <w:rPr>
                <w:rFonts w:ascii="Calibri" w:hAnsi="Calibri"/>
                <w:color w:val="000000"/>
              </w:rPr>
            </w:pPr>
            <w:r w:rsidRPr="00AD50F9">
              <w:rPr>
                <w:rFonts w:ascii="Calibri" w:hAnsi="Calibri"/>
                <w:color w:val="000000"/>
              </w:rPr>
              <w:t>0</w:t>
            </w:r>
          </w:p>
        </w:tc>
        <w:tc>
          <w:tcPr>
            <w:tcW w:w="546" w:type="dxa"/>
            <w:vAlign w:val="center"/>
          </w:tcPr>
          <w:p w14:paraId="6B8F58B2" w14:textId="64174E79" w:rsidR="009A1B16" w:rsidRPr="00AD50F9" w:rsidRDefault="009A1B16" w:rsidP="009A1B16">
            <w:pPr>
              <w:spacing w:after="0" w:line="240" w:lineRule="auto"/>
              <w:jc w:val="center"/>
              <w:rPr>
                <w:rFonts w:ascii="Calibri" w:hAnsi="Calibri"/>
                <w:color w:val="000000"/>
              </w:rPr>
            </w:pPr>
            <w:r>
              <w:rPr>
                <w:rFonts w:ascii="Calibri" w:hAnsi="Calibri"/>
                <w:color w:val="000000"/>
              </w:rPr>
              <w:t>0</w:t>
            </w:r>
          </w:p>
        </w:tc>
        <w:tc>
          <w:tcPr>
            <w:tcW w:w="546" w:type="dxa"/>
          </w:tcPr>
          <w:p w14:paraId="2DEBCB68" w14:textId="0F27751F" w:rsidR="009A1B16" w:rsidRDefault="009A1B16" w:rsidP="008D7E22">
            <w:pPr>
              <w:spacing w:before="120" w:after="0" w:line="240" w:lineRule="auto"/>
              <w:jc w:val="center"/>
              <w:rPr>
                <w:rFonts w:ascii="Calibri" w:hAnsi="Calibri"/>
                <w:color w:val="000000"/>
              </w:rPr>
            </w:pPr>
            <w:r w:rsidRPr="009A1B16">
              <w:rPr>
                <w:rFonts w:ascii="Calibri" w:hAnsi="Calibri"/>
                <w:color w:val="000000"/>
              </w:rPr>
              <w:t>0</w:t>
            </w:r>
          </w:p>
        </w:tc>
      </w:tr>
      <w:tr w:rsidR="009A1B16" w:rsidRPr="00EA6971" w14:paraId="756223EB" w14:textId="49E72E65" w:rsidTr="00687F56">
        <w:trPr>
          <w:trHeight w:val="255"/>
        </w:trPr>
        <w:tc>
          <w:tcPr>
            <w:tcW w:w="4234" w:type="dxa"/>
            <w:shd w:val="clear" w:color="auto" w:fill="auto"/>
            <w:noWrap/>
            <w:vAlign w:val="bottom"/>
            <w:hideMark/>
          </w:tcPr>
          <w:p w14:paraId="0635E5E4" w14:textId="77777777" w:rsidR="009A1B16" w:rsidRPr="00AD50F9" w:rsidRDefault="009A1B16" w:rsidP="009A1B16">
            <w:pPr>
              <w:spacing w:after="0" w:line="240" w:lineRule="auto"/>
              <w:rPr>
                <w:rFonts w:eastAsia="Times New Roman" w:cs="Arial"/>
                <w:sz w:val="20"/>
                <w:szCs w:val="20"/>
                <w:lang w:eastAsia="sv-SE"/>
              </w:rPr>
            </w:pPr>
            <w:r w:rsidRPr="00AD50F9">
              <w:rPr>
                <w:rFonts w:eastAsia="Times New Roman" w:cs="Arial"/>
                <w:sz w:val="20"/>
                <w:szCs w:val="20"/>
                <w:lang w:eastAsia="sv-SE"/>
              </w:rPr>
              <w:t>Sjukfrånvaro (dagar) per anställd</w:t>
            </w:r>
          </w:p>
        </w:tc>
        <w:tc>
          <w:tcPr>
            <w:tcW w:w="546" w:type="dxa"/>
            <w:shd w:val="clear" w:color="auto" w:fill="auto"/>
            <w:noWrap/>
            <w:vAlign w:val="bottom"/>
          </w:tcPr>
          <w:p w14:paraId="5CC107CF" w14:textId="77777777" w:rsidR="009A1B16" w:rsidRPr="00AD50F9" w:rsidRDefault="009A1B16" w:rsidP="009A1B16">
            <w:pPr>
              <w:spacing w:after="0" w:line="240" w:lineRule="auto"/>
              <w:jc w:val="center"/>
              <w:rPr>
                <w:rFonts w:eastAsia="Times New Roman" w:cs="Arial"/>
                <w:sz w:val="20"/>
                <w:szCs w:val="20"/>
                <w:lang w:eastAsia="sv-SE"/>
              </w:rPr>
            </w:pPr>
            <w:r w:rsidRPr="00AD50F9">
              <w:rPr>
                <w:rFonts w:ascii="Calibri" w:hAnsi="Calibri"/>
                <w:color w:val="000000"/>
              </w:rPr>
              <w:t>13</w:t>
            </w:r>
          </w:p>
        </w:tc>
        <w:tc>
          <w:tcPr>
            <w:tcW w:w="571" w:type="dxa"/>
          </w:tcPr>
          <w:p w14:paraId="745581F0" w14:textId="77777777" w:rsidR="009A1B16" w:rsidRPr="00AD50F9" w:rsidRDefault="009A1B16" w:rsidP="009A1B16">
            <w:pPr>
              <w:spacing w:after="0" w:line="240" w:lineRule="auto"/>
              <w:jc w:val="center"/>
              <w:rPr>
                <w:rFonts w:ascii="Calibri" w:hAnsi="Calibri"/>
                <w:color w:val="000000"/>
              </w:rPr>
            </w:pPr>
            <w:r w:rsidRPr="00AD50F9">
              <w:rPr>
                <w:rFonts w:ascii="Calibri" w:hAnsi="Calibri"/>
                <w:color w:val="000000"/>
              </w:rPr>
              <w:t>9</w:t>
            </w:r>
          </w:p>
        </w:tc>
        <w:tc>
          <w:tcPr>
            <w:tcW w:w="546" w:type="dxa"/>
          </w:tcPr>
          <w:p w14:paraId="0F66CA0E" w14:textId="77777777" w:rsidR="009A1B16" w:rsidRPr="00AD50F9" w:rsidRDefault="009A1B16" w:rsidP="009A1B16">
            <w:pPr>
              <w:spacing w:after="0" w:line="240" w:lineRule="auto"/>
              <w:jc w:val="center"/>
              <w:rPr>
                <w:rFonts w:ascii="Calibri" w:hAnsi="Calibri"/>
                <w:color w:val="000000"/>
              </w:rPr>
            </w:pPr>
            <w:r w:rsidRPr="00AD50F9">
              <w:rPr>
                <w:rFonts w:ascii="Calibri" w:hAnsi="Calibri"/>
                <w:color w:val="000000"/>
              </w:rPr>
              <w:t>18</w:t>
            </w:r>
          </w:p>
        </w:tc>
        <w:tc>
          <w:tcPr>
            <w:tcW w:w="546" w:type="dxa"/>
            <w:vAlign w:val="center"/>
          </w:tcPr>
          <w:p w14:paraId="4AEBB2AC" w14:textId="6D2A5A69" w:rsidR="009A1B16" w:rsidRPr="00AD50F9" w:rsidRDefault="009A1B16" w:rsidP="009A1B16">
            <w:pPr>
              <w:spacing w:after="0" w:line="240" w:lineRule="auto"/>
              <w:jc w:val="center"/>
              <w:rPr>
                <w:rFonts w:ascii="Calibri" w:hAnsi="Calibri"/>
                <w:color w:val="000000"/>
              </w:rPr>
            </w:pPr>
            <w:r>
              <w:rPr>
                <w:rFonts w:ascii="Calibri" w:hAnsi="Calibri"/>
                <w:color w:val="000000"/>
              </w:rPr>
              <w:t>5,92</w:t>
            </w:r>
          </w:p>
        </w:tc>
        <w:tc>
          <w:tcPr>
            <w:tcW w:w="546" w:type="dxa"/>
          </w:tcPr>
          <w:p w14:paraId="44EBBBD2" w14:textId="656591EE" w:rsidR="009A1B16" w:rsidRDefault="009A1B16" w:rsidP="009A1B16">
            <w:pPr>
              <w:spacing w:after="0" w:line="240" w:lineRule="auto"/>
              <w:jc w:val="center"/>
              <w:rPr>
                <w:rFonts w:ascii="Calibri" w:hAnsi="Calibri"/>
                <w:color w:val="000000"/>
              </w:rPr>
            </w:pPr>
            <w:r w:rsidRPr="009A1B16">
              <w:rPr>
                <w:rFonts w:ascii="Calibri" w:hAnsi="Calibri"/>
                <w:color w:val="000000"/>
              </w:rPr>
              <w:t> 7,34</w:t>
            </w:r>
          </w:p>
        </w:tc>
      </w:tr>
    </w:tbl>
    <w:p w14:paraId="5108EE59" w14:textId="77777777" w:rsidR="005F4BC4" w:rsidRDefault="005F4BC4" w:rsidP="00C316EC">
      <w:pPr>
        <w:ind w:left="360"/>
        <w:rPr>
          <w:color w:val="000000" w:themeColor="text1"/>
        </w:rPr>
      </w:pPr>
    </w:p>
    <w:tbl>
      <w:tblPr>
        <w:tblW w:w="8601" w:type="dxa"/>
        <w:tblCellMar>
          <w:left w:w="70" w:type="dxa"/>
          <w:right w:w="70" w:type="dxa"/>
        </w:tblCellMar>
        <w:tblLook w:val="04A0" w:firstRow="1" w:lastRow="0" w:firstColumn="1" w:lastColumn="0" w:noHBand="0" w:noVBand="1"/>
      </w:tblPr>
      <w:tblGrid>
        <w:gridCol w:w="3109"/>
        <w:gridCol w:w="709"/>
        <w:gridCol w:w="619"/>
        <w:gridCol w:w="642"/>
        <w:gridCol w:w="746"/>
        <w:gridCol w:w="753"/>
        <w:gridCol w:w="702"/>
        <w:gridCol w:w="642"/>
        <w:gridCol w:w="702"/>
      </w:tblGrid>
      <w:tr w:rsidR="00606A6B" w:rsidRPr="00606A6B" w14:paraId="4825A8F3" w14:textId="77777777" w:rsidTr="00687F56">
        <w:trPr>
          <w:trHeight w:val="300"/>
        </w:trPr>
        <w:tc>
          <w:tcPr>
            <w:tcW w:w="3109"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2601B027" w14:textId="77777777" w:rsidR="00606A6B" w:rsidRPr="00606A6B" w:rsidRDefault="00606A6B" w:rsidP="00606A6B">
            <w:pPr>
              <w:spacing w:after="0" w:line="240" w:lineRule="auto"/>
              <w:rPr>
                <w:rFonts w:ascii="Calibri" w:eastAsia="Times New Roman" w:hAnsi="Calibri" w:cs="Times New Roman"/>
                <w:b/>
                <w:bCs/>
                <w:color w:val="000000"/>
                <w:sz w:val="18"/>
                <w:szCs w:val="18"/>
                <w:lang w:eastAsia="sv-SE"/>
              </w:rPr>
            </w:pPr>
            <w:r w:rsidRPr="00606A6B">
              <w:rPr>
                <w:rFonts w:ascii="Calibri" w:eastAsia="Times New Roman" w:hAnsi="Calibri" w:cs="Times New Roman"/>
                <w:b/>
                <w:bCs/>
                <w:color w:val="000000"/>
                <w:sz w:val="18"/>
                <w:szCs w:val="18"/>
                <w:lang w:eastAsia="sv-SE"/>
              </w:rPr>
              <w:t>Utbildningstimmar per personalkategori totalt</w:t>
            </w:r>
          </w:p>
        </w:tc>
        <w:tc>
          <w:tcPr>
            <w:tcW w:w="1328"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29CF968B" w14:textId="7150D166" w:rsidR="00606A6B" w:rsidRPr="00606A6B" w:rsidRDefault="00687F56" w:rsidP="00606A6B">
            <w:pPr>
              <w:spacing w:after="0" w:line="240" w:lineRule="auto"/>
              <w:jc w:val="center"/>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2016</w:t>
            </w:r>
          </w:p>
        </w:tc>
        <w:tc>
          <w:tcPr>
            <w:tcW w:w="1388"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1BCF2C30" w14:textId="34A48563" w:rsidR="00606A6B" w:rsidRPr="00606A6B" w:rsidRDefault="00687F56" w:rsidP="00606A6B">
            <w:pPr>
              <w:spacing w:after="0" w:line="240" w:lineRule="auto"/>
              <w:jc w:val="center"/>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2017</w:t>
            </w:r>
          </w:p>
        </w:tc>
        <w:tc>
          <w:tcPr>
            <w:tcW w:w="1455"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75DEF12B" w14:textId="133BF6EC" w:rsidR="00606A6B" w:rsidRPr="00606A6B" w:rsidRDefault="00606A6B" w:rsidP="00687F56">
            <w:pPr>
              <w:spacing w:after="0" w:line="240" w:lineRule="auto"/>
              <w:jc w:val="center"/>
              <w:rPr>
                <w:rFonts w:ascii="Calibri" w:eastAsia="Times New Roman" w:hAnsi="Calibri" w:cs="Times New Roman"/>
                <w:b/>
                <w:bCs/>
                <w:color w:val="000000"/>
                <w:sz w:val="18"/>
                <w:szCs w:val="18"/>
                <w:lang w:eastAsia="sv-SE"/>
              </w:rPr>
            </w:pPr>
            <w:r w:rsidRPr="00606A6B">
              <w:rPr>
                <w:rFonts w:ascii="Calibri" w:eastAsia="Times New Roman" w:hAnsi="Calibri" w:cs="Times New Roman"/>
                <w:b/>
                <w:bCs/>
                <w:color w:val="000000"/>
                <w:sz w:val="18"/>
                <w:szCs w:val="18"/>
                <w:lang w:eastAsia="sv-SE"/>
              </w:rPr>
              <w:t>201</w:t>
            </w:r>
            <w:r w:rsidR="00687F56">
              <w:rPr>
                <w:rFonts w:ascii="Calibri" w:eastAsia="Times New Roman" w:hAnsi="Calibri" w:cs="Times New Roman"/>
                <w:b/>
                <w:bCs/>
                <w:color w:val="000000"/>
                <w:sz w:val="18"/>
                <w:szCs w:val="18"/>
                <w:lang w:eastAsia="sv-SE"/>
              </w:rPr>
              <w:t>8</w:t>
            </w:r>
          </w:p>
        </w:tc>
        <w:tc>
          <w:tcPr>
            <w:tcW w:w="1321" w:type="dxa"/>
            <w:gridSpan w:val="2"/>
            <w:tcBorders>
              <w:top w:val="single" w:sz="8" w:space="0" w:color="auto"/>
              <w:left w:val="nil"/>
              <w:bottom w:val="single" w:sz="8" w:space="0" w:color="auto"/>
              <w:right w:val="single" w:sz="8" w:space="0" w:color="000000"/>
            </w:tcBorders>
            <w:shd w:val="clear" w:color="000000" w:fill="FFFF00"/>
            <w:noWrap/>
            <w:vAlign w:val="center"/>
            <w:hideMark/>
          </w:tcPr>
          <w:p w14:paraId="04D7069F" w14:textId="4546575E" w:rsidR="00606A6B" w:rsidRPr="00606A6B" w:rsidRDefault="00606A6B" w:rsidP="00687F56">
            <w:pPr>
              <w:spacing w:after="0" w:line="240" w:lineRule="auto"/>
              <w:jc w:val="center"/>
              <w:rPr>
                <w:rFonts w:ascii="Calibri" w:eastAsia="Times New Roman" w:hAnsi="Calibri" w:cs="Times New Roman"/>
                <w:b/>
                <w:bCs/>
                <w:color w:val="000000"/>
                <w:sz w:val="18"/>
                <w:szCs w:val="18"/>
                <w:lang w:eastAsia="sv-SE"/>
              </w:rPr>
            </w:pPr>
            <w:r w:rsidRPr="00606A6B">
              <w:rPr>
                <w:rFonts w:ascii="Calibri" w:eastAsia="Times New Roman" w:hAnsi="Calibri" w:cs="Times New Roman"/>
                <w:b/>
                <w:bCs/>
                <w:color w:val="000000"/>
                <w:sz w:val="18"/>
                <w:szCs w:val="18"/>
                <w:lang w:eastAsia="sv-SE"/>
              </w:rPr>
              <w:t>201</w:t>
            </w:r>
            <w:r w:rsidR="00687F56">
              <w:rPr>
                <w:rFonts w:ascii="Calibri" w:eastAsia="Times New Roman" w:hAnsi="Calibri" w:cs="Times New Roman"/>
                <w:b/>
                <w:bCs/>
                <w:color w:val="000000"/>
                <w:sz w:val="18"/>
                <w:szCs w:val="18"/>
                <w:lang w:eastAsia="sv-SE"/>
              </w:rPr>
              <w:t>9</w:t>
            </w:r>
          </w:p>
        </w:tc>
      </w:tr>
      <w:tr w:rsidR="00606A6B" w:rsidRPr="00606A6B" w14:paraId="66B83196" w14:textId="77777777" w:rsidTr="00687F56">
        <w:trPr>
          <w:trHeight w:val="288"/>
        </w:trPr>
        <w:tc>
          <w:tcPr>
            <w:tcW w:w="3109" w:type="dxa"/>
            <w:vMerge/>
            <w:tcBorders>
              <w:top w:val="single" w:sz="8" w:space="0" w:color="auto"/>
              <w:left w:val="single" w:sz="8" w:space="0" w:color="auto"/>
              <w:bottom w:val="single" w:sz="8" w:space="0" w:color="000000"/>
              <w:right w:val="single" w:sz="8" w:space="0" w:color="auto"/>
            </w:tcBorders>
            <w:vAlign w:val="center"/>
            <w:hideMark/>
          </w:tcPr>
          <w:p w14:paraId="67CF4C0A" w14:textId="77777777" w:rsidR="00606A6B" w:rsidRPr="00606A6B" w:rsidRDefault="00606A6B" w:rsidP="00606A6B">
            <w:pPr>
              <w:spacing w:after="0" w:line="240" w:lineRule="auto"/>
              <w:rPr>
                <w:rFonts w:ascii="Calibri" w:eastAsia="Times New Roman" w:hAnsi="Calibri" w:cs="Times New Roman"/>
                <w:b/>
                <w:bCs/>
                <w:color w:val="000000"/>
                <w:sz w:val="18"/>
                <w:szCs w:val="18"/>
                <w:lang w:eastAsia="sv-SE"/>
              </w:rPr>
            </w:pPr>
          </w:p>
        </w:tc>
        <w:tc>
          <w:tcPr>
            <w:tcW w:w="709" w:type="dxa"/>
            <w:tcBorders>
              <w:top w:val="nil"/>
              <w:left w:val="nil"/>
              <w:bottom w:val="nil"/>
              <w:right w:val="single" w:sz="8" w:space="0" w:color="auto"/>
            </w:tcBorders>
            <w:shd w:val="clear" w:color="000000" w:fill="FFFF00"/>
            <w:noWrap/>
            <w:vAlign w:val="center"/>
            <w:hideMark/>
          </w:tcPr>
          <w:p w14:paraId="16A50CB4"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Per</w:t>
            </w:r>
          </w:p>
        </w:tc>
        <w:tc>
          <w:tcPr>
            <w:tcW w:w="619"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54E50C89"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Totalt</w:t>
            </w:r>
          </w:p>
        </w:tc>
        <w:tc>
          <w:tcPr>
            <w:tcW w:w="642"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721ED7FB"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Totalt</w:t>
            </w:r>
          </w:p>
        </w:tc>
        <w:tc>
          <w:tcPr>
            <w:tcW w:w="746" w:type="dxa"/>
            <w:tcBorders>
              <w:top w:val="nil"/>
              <w:left w:val="nil"/>
              <w:bottom w:val="nil"/>
              <w:right w:val="single" w:sz="8" w:space="0" w:color="auto"/>
            </w:tcBorders>
            <w:shd w:val="clear" w:color="000000" w:fill="FFFF00"/>
            <w:vAlign w:val="center"/>
            <w:hideMark/>
          </w:tcPr>
          <w:p w14:paraId="2450ADD3"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Per</w:t>
            </w:r>
          </w:p>
        </w:tc>
        <w:tc>
          <w:tcPr>
            <w:tcW w:w="753"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46293205"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Totalt</w:t>
            </w:r>
          </w:p>
        </w:tc>
        <w:tc>
          <w:tcPr>
            <w:tcW w:w="702" w:type="dxa"/>
            <w:tcBorders>
              <w:top w:val="nil"/>
              <w:left w:val="nil"/>
              <w:bottom w:val="nil"/>
              <w:right w:val="single" w:sz="8" w:space="0" w:color="auto"/>
            </w:tcBorders>
            <w:shd w:val="clear" w:color="000000" w:fill="FFFF00"/>
            <w:vAlign w:val="center"/>
            <w:hideMark/>
          </w:tcPr>
          <w:p w14:paraId="3570D6C3"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Per</w:t>
            </w:r>
          </w:p>
        </w:tc>
        <w:tc>
          <w:tcPr>
            <w:tcW w:w="619"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44EBD4BA"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Totalt</w:t>
            </w:r>
          </w:p>
        </w:tc>
        <w:tc>
          <w:tcPr>
            <w:tcW w:w="702" w:type="dxa"/>
            <w:tcBorders>
              <w:top w:val="nil"/>
              <w:left w:val="nil"/>
              <w:bottom w:val="nil"/>
              <w:right w:val="single" w:sz="8" w:space="0" w:color="auto"/>
            </w:tcBorders>
            <w:shd w:val="clear" w:color="000000" w:fill="FFFF00"/>
            <w:vAlign w:val="center"/>
            <w:hideMark/>
          </w:tcPr>
          <w:p w14:paraId="264CADE7"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Per</w:t>
            </w:r>
          </w:p>
        </w:tc>
      </w:tr>
      <w:tr w:rsidR="00606A6B" w:rsidRPr="00606A6B" w14:paraId="625D2A00" w14:textId="77777777" w:rsidTr="00687F56">
        <w:trPr>
          <w:trHeight w:val="300"/>
        </w:trPr>
        <w:tc>
          <w:tcPr>
            <w:tcW w:w="3109" w:type="dxa"/>
            <w:vMerge/>
            <w:tcBorders>
              <w:top w:val="single" w:sz="8" w:space="0" w:color="auto"/>
              <w:left w:val="single" w:sz="8" w:space="0" w:color="auto"/>
              <w:bottom w:val="single" w:sz="8" w:space="0" w:color="000000"/>
              <w:right w:val="single" w:sz="8" w:space="0" w:color="auto"/>
            </w:tcBorders>
            <w:vAlign w:val="center"/>
            <w:hideMark/>
          </w:tcPr>
          <w:p w14:paraId="435329F3" w14:textId="77777777" w:rsidR="00606A6B" w:rsidRPr="00606A6B" w:rsidRDefault="00606A6B" w:rsidP="00606A6B">
            <w:pPr>
              <w:spacing w:after="0" w:line="240" w:lineRule="auto"/>
              <w:rPr>
                <w:rFonts w:ascii="Calibri" w:eastAsia="Times New Roman" w:hAnsi="Calibri" w:cs="Times New Roman"/>
                <w:b/>
                <w:bCs/>
                <w:color w:val="000000"/>
                <w:sz w:val="18"/>
                <w:szCs w:val="18"/>
                <w:lang w:eastAsia="sv-SE"/>
              </w:rPr>
            </w:pPr>
          </w:p>
        </w:tc>
        <w:tc>
          <w:tcPr>
            <w:tcW w:w="709" w:type="dxa"/>
            <w:tcBorders>
              <w:top w:val="nil"/>
              <w:left w:val="nil"/>
              <w:bottom w:val="single" w:sz="8" w:space="0" w:color="auto"/>
              <w:right w:val="single" w:sz="8" w:space="0" w:color="auto"/>
            </w:tcBorders>
            <w:shd w:val="clear" w:color="000000" w:fill="FFFF00"/>
            <w:noWrap/>
            <w:vAlign w:val="center"/>
            <w:hideMark/>
          </w:tcPr>
          <w:p w14:paraId="687D1CAD"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Person</w:t>
            </w:r>
          </w:p>
        </w:tc>
        <w:tc>
          <w:tcPr>
            <w:tcW w:w="619" w:type="dxa"/>
            <w:vMerge/>
            <w:tcBorders>
              <w:top w:val="nil"/>
              <w:left w:val="single" w:sz="8" w:space="0" w:color="auto"/>
              <w:bottom w:val="single" w:sz="8" w:space="0" w:color="000000"/>
              <w:right w:val="single" w:sz="8" w:space="0" w:color="auto"/>
            </w:tcBorders>
            <w:vAlign w:val="center"/>
            <w:hideMark/>
          </w:tcPr>
          <w:p w14:paraId="22C20B0A"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p>
        </w:tc>
        <w:tc>
          <w:tcPr>
            <w:tcW w:w="642" w:type="dxa"/>
            <w:vMerge/>
            <w:tcBorders>
              <w:top w:val="nil"/>
              <w:left w:val="single" w:sz="8" w:space="0" w:color="auto"/>
              <w:bottom w:val="single" w:sz="8" w:space="0" w:color="000000"/>
              <w:right w:val="single" w:sz="8" w:space="0" w:color="auto"/>
            </w:tcBorders>
            <w:vAlign w:val="center"/>
            <w:hideMark/>
          </w:tcPr>
          <w:p w14:paraId="092E5195"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p>
        </w:tc>
        <w:tc>
          <w:tcPr>
            <w:tcW w:w="746" w:type="dxa"/>
            <w:tcBorders>
              <w:top w:val="nil"/>
              <w:left w:val="nil"/>
              <w:bottom w:val="single" w:sz="8" w:space="0" w:color="auto"/>
              <w:right w:val="single" w:sz="8" w:space="0" w:color="auto"/>
            </w:tcBorders>
            <w:shd w:val="clear" w:color="000000" w:fill="FFFF00"/>
            <w:vAlign w:val="center"/>
            <w:hideMark/>
          </w:tcPr>
          <w:p w14:paraId="50FC7787"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Person</w:t>
            </w:r>
          </w:p>
        </w:tc>
        <w:tc>
          <w:tcPr>
            <w:tcW w:w="753" w:type="dxa"/>
            <w:vMerge/>
            <w:tcBorders>
              <w:top w:val="nil"/>
              <w:left w:val="single" w:sz="8" w:space="0" w:color="auto"/>
              <w:bottom w:val="single" w:sz="8" w:space="0" w:color="000000"/>
              <w:right w:val="single" w:sz="8" w:space="0" w:color="auto"/>
            </w:tcBorders>
            <w:vAlign w:val="center"/>
            <w:hideMark/>
          </w:tcPr>
          <w:p w14:paraId="00824AF1"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p>
        </w:tc>
        <w:tc>
          <w:tcPr>
            <w:tcW w:w="702" w:type="dxa"/>
            <w:tcBorders>
              <w:top w:val="nil"/>
              <w:left w:val="nil"/>
              <w:bottom w:val="single" w:sz="8" w:space="0" w:color="auto"/>
              <w:right w:val="single" w:sz="8" w:space="0" w:color="auto"/>
            </w:tcBorders>
            <w:shd w:val="clear" w:color="000000" w:fill="FFFF00"/>
            <w:vAlign w:val="center"/>
            <w:hideMark/>
          </w:tcPr>
          <w:p w14:paraId="2181AB50"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Person</w:t>
            </w:r>
          </w:p>
        </w:tc>
        <w:tc>
          <w:tcPr>
            <w:tcW w:w="619" w:type="dxa"/>
            <w:vMerge/>
            <w:tcBorders>
              <w:top w:val="nil"/>
              <w:left w:val="single" w:sz="8" w:space="0" w:color="auto"/>
              <w:bottom w:val="single" w:sz="8" w:space="0" w:color="000000"/>
              <w:right w:val="single" w:sz="8" w:space="0" w:color="auto"/>
            </w:tcBorders>
            <w:vAlign w:val="center"/>
            <w:hideMark/>
          </w:tcPr>
          <w:p w14:paraId="0695D28A"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p>
        </w:tc>
        <w:tc>
          <w:tcPr>
            <w:tcW w:w="702" w:type="dxa"/>
            <w:tcBorders>
              <w:top w:val="nil"/>
              <w:left w:val="nil"/>
              <w:bottom w:val="single" w:sz="8" w:space="0" w:color="auto"/>
              <w:right w:val="single" w:sz="8" w:space="0" w:color="auto"/>
            </w:tcBorders>
            <w:shd w:val="clear" w:color="000000" w:fill="FFFF00"/>
            <w:vAlign w:val="center"/>
            <w:hideMark/>
          </w:tcPr>
          <w:p w14:paraId="3CBAB922" w14:textId="77777777" w:rsidR="00606A6B" w:rsidRPr="00606A6B" w:rsidRDefault="00606A6B" w:rsidP="00606A6B">
            <w:pPr>
              <w:spacing w:after="0" w:line="240" w:lineRule="auto"/>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Person</w:t>
            </w:r>
          </w:p>
        </w:tc>
      </w:tr>
      <w:tr w:rsidR="00687F56" w:rsidRPr="00606A6B" w14:paraId="7D1750E6" w14:textId="77777777" w:rsidTr="00687F56">
        <w:trPr>
          <w:trHeight w:val="300"/>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B211FA9" w14:textId="77777777" w:rsidR="00687F56" w:rsidRPr="00606A6B" w:rsidRDefault="00687F56" w:rsidP="00687F56">
            <w:pPr>
              <w:spacing w:after="0" w:line="240" w:lineRule="auto"/>
              <w:rPr>
                <w:rFonts w:ascii="Calibri" w:eastAsia="Times New Roman" w:hAnsi="Calibri" w:cs="Times New Roman"/>
                <w:b/>
                <w:bCs/>
                <w:color w:val="000000"/>
                <w:sz w:val="18"/>
                <w:szCs w:val="18"/>
                <w:lang w:eastAsia="sv-SE"/>
              </w:rPr>
            </w:pPr>
            <w:r w:rsidRPr="00606A6B">
              <w:rPr>
                <w:rFonts w:ascii="Calibri" w:eastAsia="Times New Roman" w:hAnsi="Calibri" w:cs="Times New Roman"/>
                <w:b/>
                <w:bCs/>
                <w:color w:val="000000"/>
                <w:sz w:val="18"/>
                <w:szCs w:val="18"/>
                <w:lang w:eastAsia="sv-SE"/>
              </w:rPr>
              <w:t>Utbildningstimmar för företagsledning</w:t>
            </w:r>
          </w:p>
        </w:tc>
        <w:tc>
          <w:tcPr>
            <w:tcW w:w="709" w:type="dxa"/>
            <w:tcBorders>
              <w:top w:val="nil"/>
              <w:left w:val="nil"/>
              <w:bottom w:val="single" w:sz="8" w:space="0" w:color="auto"/>
              <w:right w:val="single" w:sz="8" w:space="0" w:color="auto"/>
            </w:tcBorders>
            <w:shd w:val="clear" w:color="auto" w:fill="auto"/>
            <w:noWrap/>
            <w:vAlign w:val="center"/>
          </w:tcPr>
          <w:p w14:paraId="30C8722F" w14:textId="27EDFCB0"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22</w:t>
            </w:r>
          </w:p>
        </w:tc>
        <w:tc>
          <w:tcPr>
            <w:tcW w:w="619" w:type="dxa"/>
            <w:tcBorders>
              <w:top w:val="nil"/>
              <w:left w:val="nil"/>
              <w:bottom w:val="single" w:sz="8" w:space="0" w:color="auto"/>
              <w:right w:val="single" w:sz="8" w:space="0" w:color="auto"/>
            </w:tcBorders>
            <w:shd w:val="clear" w:color="auto" w:fill="auto"/>
            <w:noWrap/>
            <w:vAlign w:val="center"/>
          </w:tcPr>
          <w:p w14:paraId="14D13C1C" w14:textId="7003AC86"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2,2</w:t>
            </w:r>
          </w:p>
        </w:tc>
        <w:tc>
          <w:tcPr>
            <w:tcW w:w="642" w:type="dxa"/>
            <w:tcBorders>
              <w:top w:val="nil"/>
              <w:left w:val="nil"/>
              <w:bottom w:val="single" w:sz="8" w:space="0" w:color="auto"/>
              <w:right w:val="single" w:sz="8" w:space="0" w:color="auto"/>
            </w:tcBorders>
            <w:shd w:val="clear" w:color="auto" w:fill="auto"/>
            <w:noWrap/>
            <w:vAlign w:val="center"/>
          </w:tcPr>
          <w:p w14:paraId="39FBB924" w14:textId="744C26A3"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34,5</w:t>
            </w:r>
          </w:p>
        </w:tc>
        <w:tc>
          <w:tcPr>
            <w:tcW w:w="746" w:type="dxa"/>
            <w:tcBorders>
              <w:top w:val="nil"/>
              <w:left w:val="nil"/>
              <w:bottom w:val="single" w:sz="8" w:space="0" w:color="auto"/>
              <w:right w:val="single" w:sz="8" w:space="0" w:color="auto"/>
            </w:tcBorders>
            <w:shd w:val="clear" w:color="auto" w:fill="auto"/>
            <w:noWrap/>
            <w:vAlign w:val="center"/>
          </w:tcPr>
          <w:p w14:paraId="08FA720C" w14:textId="2873270A"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1,7</w:t>
            </w:r>
          </w:p>
        </w:tc>
        <w:tc>
          <w:tcPr>
            <w:tcW w:w="753" w:type="dxa"/>
            <w:tcBorders>
              <w:top w:val="nil"/>
              <w:left w:val="nil"/>
              <w:bottom w:val="single" w:sz="8" w:space="0" w:color="auto"/>
              <w:right w:val="single" w:sz="8" w:space="0" w:color="auto"/>
            </w:tcBorders>
            <w:shd w:val="clear" w:color="auto" w:fill="auto"/>
            <w:noWrap/>
            <w:vAlign w:val="center"/>
          </w:tcPr>
          <w:p w14:paraId="0AF5F348" w14:textId="7A70D2D7"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42</w:t>
            </w:r>
          </w:p>
        </w:tc>
        <w:tc>
          <w:tcPr>
            <w:tcW w:w="702" w:type="dxa"/>
            <w:tcBorders>
              <w:top w:val="nil"/>
              <w:left w:val="nil"/>
              <w:bottom w:val="single" w:sz="8" w:space="0" w:color="auto"/>
              <w:right w:val="single" w:sz="8" w:space="0" w:color="auto"/>
            </w:tcBorders>
            <w:shd w:val="clear" w:color="auto" w:fill="auto"/>
            <w:noWrap/>
            <w:vAlign w:val="center"/>
          </w:tcPr>
          <w:p w14:paraId="1882B81F" w14:textId="55558D65"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4,2</w:t>
            </w:r>
          </w:p>
        </w:tc>
        <w:tc>
          <w:tcPr>
            <w:tcW w:w="619" w:type="dxa"/>
            <w:tcBorders>
              <w:top w:val="nil"/>
              <w:left w:val="nil"/>
              <w:bottom w:val="single" w:sz="8" w:space="0" w:color="auto"/>
              <w:right w:val="single" w:sz="8" w:space="0" w:color="auto"/>
            </w:tcBorders>
            <w:shd w:val="clear" w:color="auto" w:fill="auto"/>
            <w:noWrap/>
            <w:vAlign w:val="center"/>
          </w:tcPr>
          <w:p w14:paraId="69DE421E" w14:textId="68923480"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0</w:t>
            </w:r>
          </w:p>
        </w:tc>
        <w:tc>
          <w:tcPr>
            <w:tcW w:w="702" w:type="dxa"/>
            <w:tcBorders>
              <w:top w:val="nil"/>
              <w:left w:val="nil"/>
              <w:bottom w:val="single" w:sz="8" w:space="0" w:color="auto"/>
              <w:right w:val="single" w:sz="8" w:space="0" w:color="auto"/>
            </w:tcBorders>
            <w:shd w:val="clear" w:color="auto" w:fill="auto"/>
            <w:noWrap/>
            <w:vAlign w:val="center"/>
          </w:tcPr>
          <w:p w14:paraId="0E9B7655" w14:textId="4BF50896"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0</w:t>
            </w:r>
          </w:p>
        </w:tc>
      </w:tr>
      <w:tr w:rsidR="00687F56" w:rsidRPr="00606A6B" w14:paraId="20D61EE9" w14:textId="77777777" w:rsidTr="00687F56">
        <w:trPr>
          <w:trHeight w:val="300"/>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2878656" w14:textId="77777777" w:rsidR="00687F56" w:rsidRPr="00606A6B" w:rsidRDefault="00687F56" w:rsidP="00687F56">
            <w:pPr>
              <w:spacing w:after="0" w:line="240" w:lineRule="auto"/>
              <w:rPr>
                <w:rFonts w:ascii="Calibri" w:eastAsia="Times New Roman" w:hAnsi="Calibri" w:cs="Times New Roman"/>
                <w:b/>
                <w:bCs/>
                <w:color w:val="000000"/>
                <w:sz w:val="18"/>
                <w:szCs w:val="18"/>
                <w:lang w:eastAsia="sv-SE"/>
              </w:rPr>
            </w:pPr>
            <w:r w:rsidRPr="00606A6B">
              <w:rPr>
                <w:rFonts w:ascii="Calibri" w:eastAsia="Times New Roman" w:hAnsi="Calibri" w:cs="Times New Roman"/>
                <w:b/>
                <w:bCs/>
                <w:color w:val="000000"/>
                <w:sz w:val="18"/>
                <w:szCs w:val="18"/>
                <w:lang w:eastAsia="sv-SE"/>
              </w:rPr>
              <w:t>Utbildningstimmar för mellanchefer</w:t>
            </w:r>
          </w:p>
        </w:tc>
        <w:tc>
          <w:tcPr>
            <w:tcW w:w="709" w:type="dxa"/>
            <w:tcBorders>
              <w:top w:val="nil"/>
              <w:left w:val="nil"/>
              <w:bottom w:val="single" w:sz="8" w:space="0" w:color="auto"/>
              <w:right w:val="single" w:sz="8" w:space="0" w:color="auto"/>
            </w:tcBorders>
            <w:shd w:val="clear" w:color="auto" w:fill="auto"/>
            <w:noWrap/>
            <w:vAlign w:val="center"/>
          </w:tcPr>
          <w:p w14:paraId="2439519C" w14:textId="57FE808C"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47</w:t>
            </w:r>
          </w:p>
        </w:tc>
        <w:tc>
          <w:tcPr>
            <w:tcW w:w="619" w:type="dxa"/>
            <w:tcBorders>
              <w:top w:val="nil"/>
              <w:left w:val="nil"/>
              <w:bottom w:val="single" w:sz="8" w:space="0" w:color="auto"/>
              <w:right w:val="single" w:sz="8" w:space="0" w:color="auto"/>
            </w:tcBorders>
            <w:shd w:val="clear" w:color="auto" w:fill="auto"/>
            <w:noWrap/>
            <w:vAlign w:val="center"/>
          </w:tcPr>
          <w:p w14:paraId="45FC8246" w14:textId="59965C0A"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5,8</w:t>
            </w:r>
          </w:p>
        </w:tc>
        <w:tc>
          <w:tcPr>
            <w:tcW w:w="642" w:type="dxa"/>
            <w:tcBorders>
              <w:top w:val="nil"/>
              <w:left w:val="nil"/>
              <w:bottom w:val="single" w:sz="8" w:space="0" w:color="auto"/>
              <w:right w:val="single" w:sz="8" w:space="0" w:color="auto"/>
            </w:tcBorders>
            <w:shd w:val="clear" w:color="auto" w:fill="auto"/>
            <w:noWrap/>
            <w:vAlign w:val="center"/>
          </w:tcPr>
          <w:p w14:paraId="031E958B" w14:textId="64AD6CCB"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34</w:t>
            </w:r>
          </w:p>
        </w:tc>
        <w:tc>
          <w:tcPr>
            <w:tcW w:w="746" w:type="dxa"/>
            <w:tcBorders>
              <w:top w:val="nil"/>
              <w:left w:val="nil"/>
              <w:bottom w:val="single" w:sz="8" w:space="0" w:color="auto"/>
              <w:right w:val="single" w:sz="8" w:space="0" w:color="auto"/>
            </w:tcBorders>
            <w:shd w:val="clear" w:color="auto" w:fill="auto"/>
            <w:noWrap/>
            <w:vAlign w:val="center"/>
          </w:tcPr>
          <w:p w14:paraId="475BAE5E" w14:textId="6C33907E"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1,7</w:t>
            </w:r>
          </w:p>
        </w:tc>
        <w:tc>
          <w:tcPr>
            <w:tcW w:w="753" w:type="dxa"/>
            <w:tcBorders>
              <w:top w:val="nil"/>
              <w:left w:val="nil"/>
              <w:bottom w:val="single" w:sz="8" w:space="0" w:color="auto"/>
              <w:right w:val="single" w:sz="8" w:space="0" w:color="auto"/>
            </w:tcBorders>
            <w:shd w:val="clear" w:color="auto" w:fill="auto"/>
            <w:noWrap/>
            <w:vAlign w:val="center"/>
          </w:tcPr>
          <w:p w14:paraId="233D20D2" w14:textId="4E1E4F4E"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90</w:t>
            </w:r>
          </w:p>
        </w:tc>
        <w:tc>
          <w:tcPr>
            <w:tcW w:w="702" w:type="dxa"/>
            <w:tcBorders>
              <w:top w:val="nil"/>
              <w:left w:val="nil"/>
              <w:bottom w:val="single" w:sz="8" w:space="0" w:color="auto"/>
              <w:right w:val="single" w:sz="8" w:space="0" w:color="auto"/>
            </w:tcBorders>
            <w:shd w:val="clear" w:color="auto" w:fill="auto"/>
            <w:noWrap/>
            <w:vAlign w:val="center"/>
          </w:tcPr>
          <w:p w14:paraId="7B20EC81" w14:textId="7BD54796"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1,45</w:t>
            </w:r>
          </w:p>
        </w:tc>
        <w:tc>
          <w:tcPr>
            <w:tcW w:w="619" w:type="dxa"/>
            <w:tcBorders>
              <w:top w:val="nil"/>
              <w:left w:val="nil"/>
              <w:bottom w:val="single" w:sz="8" w:space="0" w:color="auto"/>
              <w:right w:val="single" w:sz="8" w:space="0" w:color="auto"/>
            </w:tcBorders>
            <w:shd w:val="clear" w:color="auto" w:fill="auto"/>
            <w:noWrap/>
            <w:vAlign w:val="center"/>
          </w:tcPr>
          <w:p w14:paraId="391E175C" w14:textId="12574686"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213</w:t>
            </w:r>
          </w:p>
        </w:tc>
        <w:tc>
          <w:tcPr>
            <w:tcW w:w="702" w:type="dxa"/>
            <w:tcBorders>
              <w:top w:val="nil"/>
              <w:left w:val="nil"/>
              <w:bottom w:val="single" w:sz="8" w:space="0" w:color="auto"/>
              <w:right w:val="single" w:sz="8" w:space="0" w:color="auto"/>
            </w:tcBorders>
            <w:shd w:val="clear" w:color="auto" w:fill="auto"/>
            <w:noWrap/>
            <w:vAlign w:val="center"/>
          </w:tcPr>
          <w:p w14:paraId="5273000F" w14:textId="393948F7"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1,77</w:t>
            </w:r>
          </w:p>
        </w:tc>
      </w:tr>
      <w:tr w:rsidR="00687F56" w:rsidRPr="00606A6B" w14:paraId="62B6658A" w14:textId="77777777" w:rsidTr="00687F56">
        <w:trPr>
          <w:trHeight w:val="300"/>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516C93DB" w14:textId="77777777" w:rsidR="00687F56" w:rsidRPr="00606A6B" w:rsidRDefault="00687F56" w:rsidP="00687F56">
            <w:pPr>
              <w:spacing w:after="0" w:line="240" w:lineRule="auto"/>
              <w:rPr>
                <w:rFonts w:ascii="Calibri" w:eastAsia="Times New Roman" w:hAnsi="Calibri" w:cs="Times New Roman"/>
                <w:b/>
                <w:bCs/>
                <w:color w:val="000000"/>
                <w:sz w:val="18"/>
                <w:szCs w:val="18"/>
                <w:lang w:eastAsia="sv-SE"/>
              </w:rPr>
            </w:pPr>
            <w:r w:rsidRPr="00606A6B">
              <w:rPr>
                <w:rFonts w:ascii="Calibri" w:eastAsia="Times New Roman" w:hAnsi="Calibri" w:cs="Times New Roman"/>
                <w:b/>
                <w:bCs/>
                <w:color w:val="000000"/>
                <w:sz w:val="18"/>
                <w:szCs w:val="18"/>
                <w:lang w:eastAsia="sv-SE"/>
              </w:rPr>
              <w:t>Utbildningstimmar för tjänstemän/centrala funktioner</w:t>
            </w:r>
          </w:p>
        </w:tc>
        <w:tc>
          <w:tcPr>
            <w:tcW w:w="709" w:type="dxa"/>
            <w:tcBorders>
              <w:top w:val="nil"/>
              <w:left w:val="nil"/>
              <w:bottom w:val="single" w:sz="8" w:space="0" w:color="auto"/>
              <w:right w:val="single" w:sz="8" w:space="0" w:color="auto"/>
            </w:tcBorders>
            <w:shd w:val="clear" w:color="auto" w:fill="auto"/>
            <w:noWrap/>
            <w:vAlign w:val="center"/>
          </w:tcPr>
          <w:p w14:paraId="4D710FC6" w14:textId="7855DC06"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94</w:t>
            </w:r>
          </w:p>
        </w:tc>
        <w:tc>
          <w:tcPr>
            <w:tcW w:w="619" w:type="dxa"/>
            <w:tcBorders>
              <w:top w:val="nil"/>
              <w:left w:val="nil"/>
              <w:bottom w:val="single" w:sz="8" w:space="0" w:color="auto"/>
              <w:right w:val="single" w:sz="8" w:space="0" w:color="auto"/>
            </w:tcBorders>
            <w:shd w:val="clear" w:color="auto" w:fill="auto"/>
            <w:noWrap/>
            <w:vAlign w:val="center"/>
          </w:tcPr>
          <w:p w14:paraId="05770942" w14:textId="10E6BDB4"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1</w:t>
            </w:r>
          </w:p>
        </w:tc>
        <w:tc>
          <w:tcPr>
            <w:tcW w:w="642" w:type="dxa"/>
            <w:tcBorders>
              <w:top w:val="nil"/>
              <w:left w:val="nil"/>
              <w:bottom w:val="single" w:sz="8" w:space="0" w:color="auto"/>
              <w:right w:val="single" w:sz="8" w:space="0" w:color="auto"/>
            </w:tcBorders>
            <w:shd w:val="clear" w:color="auto" w:fill="auto"/>
            <w:noWrap/>
            <w:vAlign w:val="center"/>
          </w:tcPr>
          <w:p w14:paraId="42AAD2C9" w14:textId="113B2F6E"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263</w:t>
            </w:r>
          </w:p>
        </w:tc>
        <w:tc>
          <w:tcPr>
            <w:tcW w:w="746" w:type="dxa"/>
            <w:tcBorders>
              <w:top w:val="nil"/>
              <w:left w:val="nil"/>
              <w:bottom w:val="single" w:sz="8" w:space="0" w:color="auto"/>
              <w:right w:val="single" w:sz="8" w:space="0" w:color="auto"/>
            </w:tcBorders>
            <w:shd w:val="clear" w:color="auto" w:fill="auto"/>
            <w:noWrap/>
            <w:vAlign w:val="center"/>
          </w:tcPr>
          <w:p w14:paraId="2E65507F" w14:textId="269759F7"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0,7</w:t>
            </w:r>
          </w:p>
        </w:tc>
        <w:tc>
          <w:tcPr>
            <w:tcW w:w="753" w:type="dxa"/>
            <w:tcBorders>
              <w:top w:val="nil"/>
              <w:left w:val="nil"/>
              <w:bottom w:val="single" w:sz="8" w:space="0" w:color="auto"/>
              <w:right w:val="single" w:sz="8" w:space="0" w:color="auto"/>
            </w:tcBorders>
            <w:shd w:val="clear" w:color="auto" w:fill="auto"/>
            <w:noWrap/>
            <w:vAlign w:val="center"/>
          </w:tcPr>
          <w:p w14:paraId="7FCDEC0E" w14:textId="4028470B"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35</w:t>
            </w:r>
          </w:p>
        </w:tc>
        <w:tc>
          <w:tcPr>
            <w:tcW w:w="702" w:type="dxa"/>
            <w:tcBorders>
              <w:top w:val="nil"/>
              <w:left w:val="nil"/>
              <w:bottom w:val="single" w:sz="8" w:space="0" w:color="auto"/>
              <w:right w:val="single" w:sz="8" w:space="0" w:color="auto"/>
            </w:tcBorders>
            <w:shd w:val="clear" w:color="auto" w:fill="auto"/>
            <w:noWrap/>
            <w:vAlign w:val="center"/>
          </w:tcPr>
          <w:p w14:paraId="19E5BFB6" w14:textId="643A4D15"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2,69</w:t>
            </w:r>
          </w:p>
        </w:tc>
        <w:tc>
          <w:tcPr>
            <w:tcW w:w="619" w:type="dxa"/>
            <w:tcBorders>
              <w:top w:val="nil"/>
              <w:left w:val="nil"/>
              <w:bottom w:val="single" w:sz="8" w:space="0" w:color="auto"/>
              <w:right w:val="single" w:sz="8" w:space="0" w:color="auto"/>
            </w:tcBorders>
            <w:shd w:val="clear" w:color="auto" w:fill="auto"/>
            <w:noWrap/>
            <w:vAlign w:val="center"/>
          </w:tcPr>
          <w:p w14:paraId="1DF86EE1" w14:textId="65B0EDBE"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144</w:t>
            </w:r>
          </w:p>
        </w:tc>
        <w:tc>
          <w:tcPr>
            <w:tcW w:w="702" w:type="dxa"/>
            <w:tcBorders>
              <w:top w:val="nil"/>
              <w:left w:val="nil"/>
              <w:bottom w:val="single" w:sz="8" w:space="0" w:color="auto"/>
              <w:right w:val="single" w:sz="8" w:space="0" w:color="auto"/>
            </w:tcBorders>
            <w:shd w:val="clear" w:color="auto" w:fill="auto"/>
            <w:noWrap/>
            <w:vAlign w:val="center"/>
          </w:tcPr>
          <w:p w14:paraId="5EC26555" w14:textId="4F9D6CD6"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1,19</w:t>
            </w:r>
          </w:p>
        </w:tc>
      </w:tr>
      <w:tr w:rsidR="00687F56" w:rsidRPr="00606A6B" w14:paraId="756C6517" w14:textId="77777777" w:rsidTr="00687F56">
        <w:trPr>
          <w:trHeight w:val="300"/>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A623C0C" w14:textId="77777777" w:rsidR="00687F56" w:rsidRPr="00606A6B" w:rsidRDefault="00687F56" w:rsidP="00687F56">
            <w:pPr>
              <w:spacing w:after="0" w:line="240" w:lineRule="auto"/>
              <w:rPr>
                <w:rFonts w:ascii="Calibri" w:eastAsia="Times New Roman" w:hAnsi="Calibri" w:cs="Times New Roman"/>
                <w:b/>
                <w:bCs/>
                <w:color w:val="000000"/>
                <w:sz w:val="18"/>
                <w:szCs w:val="18"/>
                <w:lang w:eastAsia="sv-SE"/>
              </w:rPr>
            </w:pPr>
            <w:r w:rsidRPr="00606A6B">
              <w:rPr>
                <w:rFonts w:ascii="Calibri" w:eastAsia="Times New Roman" w:hAnsi="Calibri" w:cs="Times New Roman"/>
                <w:b/>
                <w:bCs/>
                <w:color w:val="000000"/>
                <w:sz w:val="18"/>
                <w:szCs w:val="18"/>
                <w:lang w:eastAsia="sv-SE"/>
              </w:rPr>
              <w:t>Utbildningstimmar för operativ personal</w:t>
            </w:r>
          </w:p>
        </w:tc>
        <w:tc>
          <w:tcPr>
            <w:tcW w:w="709" w:type="dxa"/>
            <w:tcBorders>
              <w:top w:val="nil"/>
              <w:left w:val="nil"/>
              <w:bottom w:val="single" w:sz="8" w:space="0" w:color="auto"/>
              <w:right w:val="single" w:sz="8" w:space="0" w:color="auto"/>
            </w:tcBorders>
            <w:shd w:val="clear" w:color="auto" w:fill="auto"/>
            <w:noWrap/>
            <w:vAlign w:val="center"/>
          </w:tcPr>
          <w:p w14:paraId="75A654D3" w14:textId="7F086F0A"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1962</w:t>
            </w:r>
          </w:p>
        </w:tc>
        <w:tc>
          <w:tcPr>
            <w:tcW w:w="619" w:type="dxa"/>
            <w:tcBorders>
              <w:top w:val="nil"/>
              <w:left w:val="nil"/>
              <w:bottom w:val="single" w:sz="8" w:space="0" w:color="auto"/>
              <w:right w:val="single" w:sz="8" w:space="0" w:color="auto"/>
            </w:tcBorders>
            <w:shd w:val="clear" w:color="auto" w:fill="auto"/>
            <w:noWrap/>
            <w:vAlign w:val="center"/>
          </w:tcPr>
          <w:p w14:paraId="091112E6" w14:textId="0198CBDF"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15,4</w:t>
            </w:r>
          </w:p>
        </w:tc>
        <w:tc>
          <w:tcPr>
            <w:tcW w:w="642" w:type="dxa"/>
            <w:tcBorders>
              <w:top w:val="nil"/>
              <w:left w:val="nil"/>
              <w:bottom w:val="single" w:sz="8" w:space="0" w:color="auto"/>
              <w:right w:val="single" w:sz="8" w:space="0" w:color="auto"/>
            </w:tcBorders>
            <w:shd w:val="clear" w:color="auto" w:fill="auto"/>
            <w:noWrap/>
            <w:vAlign w:val="center"/>
          </w:tcPr>
          <w:p w14:paraId="6F0EB8ED" w14:textId="17632BC1"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2088</w:t>
            </w:r>
          </w:p>
        </w:tc>
        <w:tc>
          <w:tcPr>
            <w:tcW w:w="746" w:type="dxa"/>
            <w:tcBorders>
              <w:top w:val="nil"/>
              <w:left w:val="nil"/>
              <w:bottom w:val="single" w:sz="8" w:space="0" w:color="auto"/>
              <w:right w:val="single" w:sz="8" w:space="0" w:color="auto"/>
            </w:tcBorders>
            <w:shd w:val="clear" w:color="auto" w:fill="auto"/>
            <w:noWrap/>
            <w:vAlign w:val="center"/>
          </w:tcPr>
          <w:p w14:paraId="22D93EDB" w14:textId="5292487B"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1,7</w:t>
            </w:r>
          </w:p>
        </w:tc>
        <w:tc>
          <w:tcPr>
            <w:tcW w:w="753" w:type="dxa"/>
            <w:tcBorders>
              <w:top w:val="nil"/>
              <w:left w:val="nil"/>
              <w:bottom w:val="single" w:sz="8" w:space="0" w:color="auto"/>
              <w:right w:val="single" w:sz="8" w:space="0" w:color="auto"/>
            </w:tcBorders>
            <w:shd w:val="clear" w:color="auto" w:fill="auto"/>
            <w:noWrap/>
            <w:vAlign w:val="center"/>
          </w:tcPr>
          <w:p w14:paraId="034D1AA0" w14:textId="2BAC0189"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2430</w:t>
            </w:r>
          </w:p>
        </w:tc>
        <w:tc>
          <w:tcPr>
            <w:tcW w:w="702" w:type="dxa"/>
            <w:tcBorders>
              <w:top w:val="nil"/>
              <w:left w:val="nil"/>
              <w:bottom w:val="single" w:sz="8" w:space="0" w:color="auto"/>
              <w:right w:val="single" w:sz="8" w:space="0" w:color="auto"/>
            </w:tcBorders>
            <w:shd w:val="clear" w:color="auto" w:fill="auto"/>
            <w:noWrap/>
            <w:vAlign w:val="center"/>
          </w:tcPr>
          <w:p w14:paraId="40030F0B" w14:textId="00C3B59F"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2,89</w:t>
            </w:r>
          </w:p>
        </w:tc>
        <w:tc>
          <w:tcPr>
            <w:tcW w:w="619" w:type="dxa"/>
            <w:tcBorders>
              <w:top w:val="nil"/>
              <w:left w:val="nil"/>
              <w:bottom w:val="single" w:sz="8" w:space="0" w:color="auto"/>
              <w:right w:val="single" w:sz="8" w:space="0" w:color="auto"/>
            </w:tcBorders>
            <w:shd w:val="clear" w:color="auto" w:fill="auto"/>
            <w:noWrap/>
            <w:vAlign w:val="center"/>
          </w:tcPr>
          <w:p w14:paraId="5064E533" w14:textId="65652D46"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2511,5</w:t>
            </w:r>
          </w:p>
        </w:tc>
        <w:tc>
          <w:tcPr>
            <w:tcW w:w="702" w:type="dxa"/>
            <w:tcBorders>
              <w:top w:val="nil"/>
              <w:left w:val="nil"/>
              <w:bottom w:val="single" w:sz="8" w:space="0" w:color="auto"/>
              <w:right w:val="single" w:sz="8" w:space="0" w:color="auto"/>
            </w:tcBorders>
            <w:shd w:val="clear" w:color="auto" w:fill="auto"/>
            <w:noWrap/>
            <w:vAlign w:val="center"/>
          </w:tcPr>
          <w:p w14:paraId="49B9BBF4" w14:textId="7586C6F8"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3,78</w:t>
            </w:r>
          </w:p>
        </w:tc>
      </w:tr>
      <w:tr w:rsidR="00687F56" w:rsidRPr="00606A6B" w14:paraId="4EC137C6" w14:textId="77777777" w:rsidTr="00687F56">
        <w:trPr>
          <w:trHeight w:val="300"/>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5A6F214F" w14:textId="38497172" w:rsidR="00687F56" w:rsidRPr="00606A6B" w:rsidRDefault="00687F56" w:rsidP="00687F56">
            <w:pPr>
              <w:spacing w:after="0" w:line="240" w:lineRule="auto"/>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Utbildning</w:t>
            </w:r>
            <w:r w:rsidRPr="00606A6B">
              <w:rPr>
                <w:rFonts w:ascii="Calibri" w:eastAsia="Times New Roman" w:hAnsi="Calibri" w:cs="Times New Roman"/>
                <w:b/>
                <w:bCs/>
                <w:color w:val="000000"/>
                <w:sz w:val="18"/>
                <w:szCs w:val="18"/>
                <w:lang w:eastAsia="sv-SE"/>
              </w:rPr>
              <w:t>stimmar för samtlig personal</w:t>
            </w:r>
          </w:p>
        </w:tc>
        <w:tc>
          <w:tcPr>
            <w:tcW w:w="709" w:type="dxa"/>
            <w:tcBorders>
              <w:top w:val="nil"/>
              <w:left w:val="nil"/>
              <w:bottom w:val="single" w:sz="8" w:space="0" w:color="auto"/>
              <w:right w:val="single" w:sz="8" w:space="0" w:color="auto"/>
            </w:tcBorders>
            <w:shd w:val="clear" w:color="auto" w:fill="auto"/>
            <w:noWrap/>
            <w:vAlign w:val="center"/>
          </w:tcPr>
          <w:p w14:paraId="745DBA93" w14:textId="5DD1D997"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2124</w:t>
            </w:r>
          </w:p>
        </w:tc>
        <w:tc>
          <w:tcPr>
            <w:tcW w:w="619" w:type="dxa"/>
            <w:tcBorders>
              <w:top w:val="nil"/>
              <w:left w:val="nil"/>
              <w:bottom w:val="single" w:sz="8" w:space="0" w:color="auto"/>
              <w:right w:val="single" w:sz="8" w:space="0" w:color="auto"/>
            </w:tcBorders>
            <w:shd w:val="clear" w:color="auto" w:fill="auto"/>
            <w:noWrap/>
            <w:vAlign w:val="center"/>
          </w:tcPr>
          <w:p w14:paraId="4ACB824D" w14:textId="56955CCF"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8,8</w:t>
            </w:r>
          </w:p>
        </w:tc>
        <w:tc>
          <w:tcPr>
            <w:tcW w:w="642" w:type="dxa"/>
            <w:tcBorders>
              <w:top w:val="nil"/>
              <w:left w:val="nil"/>
              <w:bottom w:val="single" w:sz="8" w:space="0" w:color="auto"/>
              <w:right w:val="single" w:sz="8" w:space="0" w:color="auto"/>
            </w:tcBorders>
            <w:shd w:val="clear" w:color="auto" w:fill="auto"/>
            <w:noWrap/>
            <w:vAlign w:val="center"/>
          </w:tcPr>
          <w:p w14:paraId="7C52A933" w14:textId="50F36775"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2419,5</w:t>
            </w:r>
          </w:p>
        </w:tc>
        <w:tc>
          <w:tcPr>
            <w:tcW w:w="746" w:type="dxa"/>
            <w:tcBorders>
              <w:top w:val="nil"/>
              <w:left w:val="nil"/>
              <w:bottom w:val="single" w:sz="8" w:space="0" w:color="auto"/>
              <w:right w:val="single" w:sz="8" w:space="0" w:color="auto"/>
            </w:tcBorders>
            <w:shd w:val="clear" w:color="auto" w:fill="auto"/>
            <w:noWrap/>
            <w:vAlign w:val="center"/>
          </w:tcPr>
          <w:p w14:paraId="0A31F295" w14:textId="24D4C600"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1</w:t>
            </w:r>
          </w:p>
        </w:tc>
        <w:tc>
          <w:tcPr>
            <w:tcW w:w="753" w:type="dxa"/>
            <w:tcBorders>
              <w:top w:val="nil"/>
              <w:left w:val="nil"/>
              <w:bottom w:val="single" w:sz="8" w:space="0" w:color="auto"/>
              <w:right w:val="single" w:sz="8" w:space="0" w:color="auto"/>
            </w:tcBorders>
            <w:shd w:val="clear" w:color="auto" w:fill="auto"/>
            <w:noWrap/>
            <w:vAlign w:val="center"/>
          </w:tcPr>
          <w:p w14:paraId="3933E4B8" w14:textId="6F1B47DC"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2597</w:t>
            </w:r>
          </w:p>
        </w:tc>
        <w:tc>
          <w:tcPr>
            <w:tcW w:w="702" w:type="dxa"/>
            <w:tcBorders>
              <w:top w:val="nil"/>
              <w:left w:val="nil"/>
              <w:bottom w:val="single" w:sz="8" w:space="0" w:color="auto"/>
              <w:right w:val="single" w:sz="8" w:space="0" w:color="auto"/>
            </w:tcBorders>
            <w:shd w:val="clear" w:color="auto" w:fill="auto"/>
            <w:noWrap/>
            <w:vAlign w:val="center"/>
          </w:tcPr>
          <w:p w14:paraId="16DA2F3A" w14:textId="04A0BE7C"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606A6B">
              <w:rPr>
                <w:rFonts w:ascii="Calibri" w:eastAsia="Times New Roman" w:hAnsi="Calibri" w:cs="Times New Roman"/>
                <w:color w:val="000000"/>
                <w:sz w:val="18"/>
                <w:szCs w:val="18"/>
                <w:lang w:eastAsia="sv-SE"/>
              </w:rPr>
              <w:t>2,89</w:t>
            </w:r>
          </w:p>
        </w:tc>
        <w:tc>
          <w:tcPr>
            <w:tcW w:w="619" w:type="dxa"/>
            <w:tcBorders>
              <w:top w:val="nil"/>
              <w:left w:val="nil"/>
              <w:bottom w:val="single" w:sz="8" w:space="0" w:color="auto"/>
              <w:right w:val="single" w:sz="8" w:space="0" w:color="auto"/>
            </w:tcBorders>
            <w:shd w:val="clear" w:color="auto" w:fill="auto"/>
            <w:noWrap/>
            <w:vAlign w:val="center"/>
          </w:tcPr>
          <w:p w14:paraId="4B528961" w14:textId="4E8C118D"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2868,5</w:t>
            </w:r>
          </w:p>
        </w:tc>
        <w:tc>
          <w:tcPr>
            <w:tcW w:w="702" w:type="dxa"/>
            <w:tcBorders>
              <w:top w:val="nil"/>
              <w:left w:val="nil"/>
              <w:bottom w:val="single" w:sz="8" w:space="0" w:color="auto"/>
              <w:right w:val="single" w:sz="8" w:space="0" w:color="auto"/>
            </w:tcBorders>
            <w:shd w:val="clear" w:color="auto" w:fill="auto"/>
            <w:noWrap/>
            <w:vAlign w:val="center"/>
          </w:tcPr>
          <w:p w14:paraId="386D28C1" w14:textId="6E8A38FE" w:rsidR="00687F56" w:rsidRPr="00606A6B" w:rsidRDefault="00687F56" w:rsidP="00687F56">
            <w:pPr>
              <w:spacing w:after="0" w:line="240" w:lineRule="auto"/>
              <w:jc w:val="right"/>
              <w:rPr>
                <w:rFonts w:ascii="Calibri" w:eastAsia="Times New Roman" w:hAnsi="Calibri" w:cs="Times New Roman"/>
                <w:color w:val="000000"/>
                <w:sz w:val="18"/>
                <w:szCs w:val="18"/>
                <w:lang w:eastAsia="sv-SE"/>
              </w:rPr>
            </w:pPr>
            <w:r w:rsidRPr="00EB1E7F">
              <w:rPr>
                <w:rFonts w:ascii="Calibri" w:eastAsia="Times New Roman" w:hAnsi="Calibri" w:cs="Times New Roman"/>
                <w:color w:val="000000"/>
                <w:sz w:val="18"/>
                <w:szCs w:val="18"/>
                <w:lang w:eastAsia="sv-SE"/>
              </w:rPr>
              <w:t>3,24</w:t>
            </w:r>
          </w:p>
        </w:tc>
      </w:tr>
    </w:tbl>
    <w:p w14:paraId="129479D7" w14:textId="65248D3B" w:rsidR="002341F8" w:rsidRPr="00EA6971" w:rsidRDefault="00DD1783" w:rsidP="0046582E">
      <w:pPr>
        <w:rPr>
          <w:color w:val="000000" w:themeColor="text1"/>
        </w:rPr>
      </w:pPr>
      <w:r w:rsidRPr="00DD1783">
        <w:rPr>
          <w:color w:val="000000" w:themeColor="text1"/>
        </w:rPr>
        <w:t xml:space="preserve">       </w:t>
      </w:r>
      <w:r w:rsidRPr="00DD1783">
        <w:rPr>
          <w:i/>
          <w:sz w:val="16"/>
          <w:lang w:eastAsia="sv-SE"/>
        </w:rPr>
        <w:t>Introduktionsutbildningar, förutom i uthyrningssystemet, loggas inte.</w:t>
      </w:r>
      <w:r w:rsidR="00687F56">
        <w:rPr>
          <w:i/>
          <w:sz w:val="16"/>
          <w:lang w:eastAsia="sv-SE"/>
        </w:rPr>
        <w:t xml:space="preserve"> </w:t>
      </w:r>
    </w:p>
    <w:p w14:paraId="6512EA52" w14:textId="4439F5CA" w:rsidR="00114220" w:rsidRPr="00EA6971" w:rsidRDefault="00114220" w:rsidP="009A1208">
      <w:pPr>
        <w:pStyle w:val="Rubrik1"/>
        <w:numPr>
          <w:ilvl w:val="0"/>
          <w:numId w:val="12"/>
        </w:numPr>
        <w:rPr>
          <w:color w:val="000000" w:themeColor="text1"/>
        </w:rPr>
      </w:pPr>
      <w:bookmarkStart w:id="23" w:name="_Toc34657545"/>
      <w:r w:rsidRPr="00EA6971">
        <w:rPr>
          <w:color w:val="000000" w:themeColor="text1"/>
        </w:rPr>
        <w:t>Om hållbarhetsredovisningen</w:t>
      </w:r>
      <w:bookmarkEnd w:id="23"/>
    </w:p>
    <w:p w14:paraId="21B434FE" w14:textId="77777777" w:rsidR="00114220" w:rsidRPr="00EA6971" w:rsidRDefault="00114220" w:rsidP="009A1208">
      <w:pPr>
        <w:pStyle w:val="Rubrik2"/>
        <w:numPr>
          <w:ilvl w:val="1"/>
          <w:numId w:val="12"/>
        </w:numPr>
        <w:rPr>
          <w:color w:val="000000" w:themeColor="text1"/>
        </w:rPr>
      </w:pPr>
      <w:bookmarkStart w:id="24" w:name="_Toc34657546"/>
      <w:r w:rsidRPr="00EA6971">
        <w:rPr>
          <w:color w:val="000000" w:themeColor="text1"/>
        </w:rPr>
        <w:t>Beräkningsmetoder och underlag</w:t>
      </w:r>
      <w:bookmarkEnd w:id="24"/>
    </w:p>
    <w:p w14:paraId="1961A8A7" w14:textId="77777777" w:rsidR="00495197" w:rsidRPr="00EA6971" w:rsidRDefault="00495197" w:rsidP="00FC1A0D">
      <w:pPr>
        <w:autoSpaceDE w:val="0"/>
        <w:autoSpaceDN w:val="0"/>
        <w:adjustRightInd w:val="0"/>
        <w:spacing w:after="0" w:line="240" w:lineRule="auto"/>
        <w:ind w:left="360"/>
      </w:pPr>
      <w:r w:rsidRPr="00EE4B96">
        <w:t xml:space="preserve">Data i redovisningen har till största delen hämtats från </w:t>
      </w:r>
      <w:r w:rsidR="00385B54" w:rsidRPr="00EE4B96">
        <w:t xml:space="preserve">TRAC/BI, </w:t>
      </w:r>
      <w:r w:rsidRPr="00EE4B96">
        <w:t>miljöledningssystemet, personaladministrationssystemet, årsredovisningen och rapporter från leverantörer. Viss miljödata har även samlats in genom enkäter till medarbetare i verksamheten.</w:t>
      </w:r>
      <w:r w:rsidR="00E56131" w:rsidRPr="00EE4B96">
        <w:t xml:space="preserve"> Inga väsentliga förändringar i insamlingsmetoder har skett från föregående års redovisning.</w:t>
      </w:r>
      <w:r w:rsidR="00A708CA" w:rsidRPr="00EA6971">
        <w:t xml:space="preserve"> </w:t>
      </w:r>
    </w:p>
    <w:p w14:paraId="528FC0DE" w14:textId="77777777" w:rsidR="00355F75" w:rsidRPr="00EA6971" w:rsidRDefault="00355F75" w:rsidP="00FC1A0D">
      <w:pPr>
        <w:autoSpaceDE w:val="0"/>
        <w:autoSpaceDN w:val="0"/>
        <w:adjustRightInd w:val="0"/>
        <w:spacing w:after="0" w:line="240" w:lineRule="auto"/>
        <w:ind w:left="360"/>
      </w:pPr>
    </w:p>
    <w:p w14:paraId="6FE6F94F" w14:textId="77777777" w:rsidR="00114220" w:rsidRPr="00EE4B96" w:rsidRDefault="00114220" w:rsidP="009A1208">
      <w:pPr>
        <w:pStyle w:val="Rubrik2"/>
        <w:numPr>
          <w:ilvl w:val="1"/>
          <w:numId w:val="12"/>
        </w:numPr>
        <w:rPr>
          <w:color w:val="000000" w:themeColor="text1"/>
        </w:rPr>
      </w:pPr>
      <w:bookmarkStart w:id="25" w:name="_Toc34657547"/>
      <w:r w:rsidRPr="00EE4B96">
        <w:rPr>
          <w:color w:val="000000" w:themeColor="text1"/>
        </w:rPr>
        <w:t xml:space="preserve">Definitioner </w:t>
      </w:r>
      <w:r w:rsidR="003A2BAF" w:rsidRPr="00EE4B96">
        <w:rPr>
          <w:color w:val="000000" w:themeColor="text1"/>
        </w:rPr>
        <w:t>och förkortningar</w:t>
      </w:r>
      <w:bookmarkEnd w:id="25"/>
    </w:p>
    <w:p w14:paraId="0AF744C9" w14:textId="77777777" w:rsidR="00F83CB8" w:rsidRPr="00EE4B96" w:rsidRDefault="00F83CB8" w:rsidP="00F83CB8">
      <w:pPr>
        <w:spacing w:after="0"/>
        <w:ind w:left="357"/>
        <w:rPr>
          <w:lang w:val="en-GB"/>
        </w:rPr>
      </w:pPr>
    </w:p>
    <w:p w14:paraId="3D4064A2" w14:textId="77777777" w:rsidR="00F83CB8" w:rsidRPr="00EE4B96" w:rsidRDefault="00F83CB8" w:rsidP="00F83CB8">
      <w:pPr>
        <w:spacing w:after="0"/>
        <w:ind w:left="357"/>
        <w:rPr>
          <w:lang w:val="en-GB"/>
        </w:rPr>
      </w:pPr>
      <w:r w:rsidRPr="00EE4B96">
        <w:rPr>
          <w:lang w:val="en-GB"/>
        </w:rPr>
        <w:t xml:space="preserve">FRAC </w:t>
      </w:r>
      <w:r w:rsidR="000836B2" w:rsidRPr="00EE4B96">
        <w:rPr>
          <w:lang w:val="en-GB"/>
        </w:rPr>
        <w:tab/>
      </w:r>
      <w:r w:rsidR="000836B2" w:rsidRPr="00EE4B96">
        <w:rPr>
          <w:lang w:val="en-GB"/>
        </w:rPr>
        <w:tab/>
      </w:r>
      <w:r w:rsidRPr="00EE4B96">
        <w:rPr>
          <w:lang w:val="en-GB"/>
        </w:rPr>
        <w:t>First Rent A Car AB</w:t>
      </w:r>
    </w:p>
    <w:p w14:paraId="6A616BD9" w14:textId="77777777" w:rsidR="00F83CB8" w:rsidRPr="00EE4B96" w:rsidRDefault="00B9436A" w:rsidP="00F83CB8">
      <w:pPr>
        <w:spacing w:after="0"/>
        <w:ind w:left="357"/>
        <w:rPr>
          <w:lang w:val="en-GB"/>
        </w:rPr>
      </w:pPr>
      <w:r w:rsidRPr="00EE4B96">
        <w:rPr>
          <w:lang w:val="en-GB"/>
        </w:rPr>
        <w:t>GRI</w:t>
      </w:r>
      <w:r w:rsidR="000836B2" w:rsidRPr="00EE4B96">
        <w:rPr>
          <w:lang w:val="en-GB"/>
        </w:rPr>
        <w:tab/>
        <w:t xml:space="preserve"> </w:t>
      </w:r>
      <w:r w:rsidR="000836B2" w:rsidRPr="00EE4B96">
        <w:rPr>
          <w:lang w:val="en-GB"/>
        </w:rPr>
        <w:tab/>
      </w:r>
      <w:r w:rsidR="00F83CB8" w:rsidRPr="00EE4B96">
        <w:rPr>
          <w:lang w:val="en-GB"/>
        </w:rPr>
        <w:t>Global Reporting Initiative</w:t>
      </w:r>
    </w:p>
    <w:p w14:paraId="36734B3C" w14:textId="77777777" w:rsidR="00F83CB8" w:rsidRPr="00EE4B96" w:rsidRDefault="00F83CB8" w:rsidP="00F83CB8">
      <w:pPr>
        <w:spacing w:after="0"/>
        <w:ind w:left="357"/>
        <w:rPr>
          <w:color w:val="000000" w:themeColor="text1"/>
          <w:lang w:val="en-GB"/>
        </w:rPr>
      </w:pPr>
      <w:r w:rsidRPr="00EE4B96">
        <w:rPr>
          <w:color w:val="000000" w:themeColor="text1"/>
          <w:lang w:val="en-GB"/>
        </w:rPr>
        <w:t>HEL</w:t>
      </w:r>
      <w:r w:rsidR="00B9436A" w:rsidRPr="00EE4B96">
        <w:rPr>
          <w:color w:val="000000" w:themeColor="text1"/>
          <w:lang w:val="en-GB"/>
        </w:rPr>
        <w:t xml:space="preserve"> </w:t>
      </w:r>
      <w:r w:rsidR="000836B2" w:rsidRPr="00EE4B96">
        <w:rPr>
          <w:color w:val="000000" w:themeColor="text1"/>
          <w:lang w:val="en-GB"/>
        </w:rPr>
        <w:tab/>
      </w:r>
      <w:r w:rsidR="000836B2" w:rsidRPr="00EE4B96">
        <w:rPr>
          <w:color w:val="000000" w:themeColor="text1"/>
          <w:lang w:val="en-GB"/>
        </w:rPr>
        <w:tab/>
      </w:r>
      <w:r w:rsidR="00B9436A" w:rsidRPr="00EE4B96">
        <w:rPr>
          <w:color w:val="000000" w:themeColor="text1"/>
          <w:lang w:val="en-GB"/>
        </w:rPr>
        <w:t>Hertz International Limited</w:t>
      </w:r>
    </w:p>
    <w:p w14:paraId="001A09C1" w14:textId="77777777" w:rsidR="00F83CB8" w:rsidRPr="00EE4B96" w:rsidRDefault="00F83CB8" w:rsidP="00F83CB8">
      <w:pPr>
        <w:spacing w:after="0"/>
        <w:ind w:left="357"/>
        <w:rPr>
          <w:color w:val="000000" w:themeColor="text1"/>
          <w:lang w:val="en-GB"/>
        </w:rPr>
      </w:pPr>
      <w:r w:rsidRPr="00EE4B96">
        <w:rPr>
          <w:lang w:val="en-GB"/>
        </w:rPr>
        <w:t xml:space="preserve">LMS </w:t>
      </w:r>
      <w:r w:rsidR="000836B2" w:rsidRPr="00EE4B96">
        <w:rPr>
          <w:lang w:val="en-GB"/>
        </w:rPr>
        <w:tab/>
      </w:r>
      <w:r w:rsidR="000836B2" w:rsidRPr="00EE4B96">
        <w:rPr>
          <w:lang w:val="en-GB"/>
        </w:rPr>
        <w:tab/>
      </w:r>
      <w:r w:rsidRPr="00EE4B96">
        <w:rPr>
          <w:lang w:val="en-GB"/>
        </w:rPr>
        <w:t xml:space="preserve">Learning Management System </w:t>
      </w:r>
    </w:p>
    <w:p w14:paraId="01F4D323" w14:textId="77777777" w:rsidR="00F83CB8" w:rsidRPr="00EE4B96" w:rsidRDefault="00F83CB8" w:rsidP="00F83CB8">
      <w:pPr>
        <w:spacing w:after="0"/>
        <w:ind w:left="357"/>
        <w:rPr>
          <w:lang w:val="en-GB"/>
        </w:rPr>
      </w:pPr>
      <w:r w:rsidRPr="00EE4B96">
        <w:rPr>
          <w:color w:val="000000" w:themeColor="text1"/>
          <w:lang w:val="en-GB"/>
        </w:rPr>
        <w:t xml:space="preserve">NPS </w:t>
      </w:r>
      <w:r w:rsidR="000836B2" w:rsidRPr="00EE4B96">
        <w:rPr>
          <w:color w:val="000000" w:themeColor="text1"/>
          <w:lang w:val="en-GB"/>
        </w:rPr>
        <w:tab/>
      </w:r>
      <w:r w:rsidR="000836B2" w:rsidRPr="00EE4B96">
        <w:rPr>
          <w:color w:val="000000" w:themeColor="text1"/>
          <w:lang w:val="en-GB"/>
        </w:rPr>
        <w:tab/>
      </w:r>
      <w:r w:rsidRPr="00EE4B96">
        <w:rPr>
          <w:lang w:val="en-GB"/>
        </w:rPr>
        <w:t xml:space="preserve">Net </w:t>
      </w:r>
      <w:r w:rsidR="008E59CC" w:rsidRPr="00EE4B96">
        <w:rPr>
          <w:lang w:val="en-GB"/>
        </w:rPr>
        <w:t>Promoter</w:t>
      </w:r>
      <w:r w:rsidRPr="00EE4B96">
        <w:rPr>
          <w:lang w:val="en-GB"/>
        </w:rPr>
        <w:t xml:space="preserve"> Score</w:t>
      </w:r>
    </w:p>
    <w:p w14:paraId="285484AA" w14:textId="77777777" w:rsidR="003A2BAF" w:rsidRPr="00EE4B96" w:rsidRDefault="00B275CA" w:rsidP="00F83CB8">
      <w:pPr>
        <w:spacing w:after="0"/>
        <w:ind w:left="357"/>
        <w:rPr>
          <w:lang w:val="en-GB"/>
        </w:rPr>
      </w:pPr>
      <w:r w:rsidRPr="00EE4B96">
        <w:rPr>
          <w:lang w:val="en-GB"/>
        </w:rPr>
        <w:t>TRAC</w:t>
      </w:r>
      <w:r w:rsidR="003A2BAF" w:rsidRPr="00EE4B96">
        <w:rPr>
          <w:lang w:val="en-GB"/>
        </w:rPr>
        <w:t xml:space="preserve"> </w:t>
      </w:r>
      <w:r w:rsidR="000836B2" w:rsidRPr="00EE4B96">
        <w:rPr>
          <w:lang w:val="en-GB"/>
        </w:rPr>
        <w:tab/>
      </w:r>
      <w:r w:rsidR="000836B2" w:rsidRPr="00EE4B96">
        <w:rPr>
          <w:lang w:val="en-GB"/>
        </w:rPr>
        <w:tab/>
      </w:r>
      <w:r w:rsidR="003A2BAF" w:rsidRPr="00EE4B96">
        <w:rPr>
          <w:lang w:val="en-GB"/>
        </w:rPr>
        <w:t>To Rent a Car</w:t>
      </w:r>
      <w:r w:rsidR="002B58D6" w:rsidRPr="00EE4B96">
        <w:rPr>
          <w:lang w:val="en-GB"/>
        </w:rPr>
        <w:t xml:space="preserve"> (biluthyrningssystem)</w:t>
      </w:r>
    </w:p>
    <w:p w14:paraId="4D723048" w14:textId="77777777" w:rsidR="00114220" w:rsidRPr="00EE4B96" w:rsidRDefault="00B275CA" w:rsidP="00F83CB8">
      <w:pPr>
        <w:spacing w:after="0"/>
        <w:ind w:left="357"/>
      </w:pPr>
      <w:r w:rsidRPr="00EE4B96">
        <w:t xml:space="preserve">BI </w:t>
      </w:r>
      <w:r w:rsidR="000836B2" w:rsidRPr="00EE4B96">
        <w:tab/>
      </w:r>
      <w:r w:rsidR="000836B2" w:rsidRPr="00EE4B96">
        <w:tab/>
      </w:r>
      <w:r w:rsidRPr="00EE4B96">
        <w:t>Business Intelligence</w:t>
      </w:r>
    </w:p>
    <w:p w14:paraId="30B31F7F" w14:textId="77777777" w:rsidR="002B58D6" w:rsidRPr="00EA6971" w:rsidRDefault="002B58D6" w:rsidP="005020E1">
      <w:pPr>
        <w:spacing w:after="0"/>
        <w:ind w:left="2601" w:hanging="2244"/>
      </w:pPr>
      <w:r w:rsidRPr="00EE4B96">
        <w:t xml:space="preserve">TRIO-anläggning </w:t>
      </w:r>
      <w:r w:rsidR="000836B2" w:rsidRPr="00EE4B96">
        <w:tab/>
      </w:r>
      <w:r w:rsidRPr="00EE4B96">
        <w:t>Anläggning som finns på Arlanda och Lan</w:t>
      </w:r>
      <w:r w:rsidR="000836B2" w:rsidRPr="00EE4B96">
        <w:t>d</w:t>
      </w:r>
      <w:r w:rsidRPr="00EE4B96">
        <w:t>vetter som ägs gemensamt av Hertz, Avis och Europcar. Anläggningen sköter drift och underhåll av tvätt och tankanläggning på respektive ort.</w:t>
      </w:r>
    </w:p>
    <w:p w14:paraId="62CC2B7E" w14:textId="77777777" w:rsidR="007B3C9F" w:rsidRPr="00EA6971" w:rsidRDefault="007B3C9F" w:rsidP="00F83CB8">
      <w:pPr>
        <w:spacing w:after="0"/>
        <w:ind w:left="357"/>
      </w:pPr>
    </w:p>
    <w:p w14:paraId="120A8620" w14:textId="77777777" w:rsidR="007B3C9F" w:rsidRPr="00EA6971" w:rsidRDefault="007B3C9F">
      <w:r w:rsidRPr="00EA6971">
        <w:br w:type="page"/>
      </w:r>
    </w:p>
    <w:p w14:paraId="38C845E7" w14:textId="77777777" w:rsidR="007B3C9F" w:rsidRPr="00EA6971" w:rsidRDefault="007B3C9F" w:rsidP="00F83CB8">
      <w:pPr>
        <w:spacing w:after="0"/>
        <w:ind w:left="357"/>
      </w:pPr>
    </w:p>
    <w:p w14:paraId="762E854F" w14:textId="77777777" w:rsidR="00114220" w:rsidRPr="00EA6971" w:rsidRDefault="00114220" w:rsidP="009A1208">
      <w:pPr>
        <w:pStyle w:val="Rubrik2"/>
        <w:numPr>
          <w:ilvl w:val="1"/>
          <w:numId w:val="12"/>
        </w:numPr>
        <w:rPr>
          <w:color w:val="000000" w:themeColor="text1"/>
        </w:rPr>
      </w:pPr>
      <w:bookmarkStart w:id="26" w:name="_Toc34657548"/>
      <w:r w:rsidRPr="00EA6971">
        <w:rPr>
          <w:color w:val="000000" w:themeColor="text1"/>
        </w:rPr>
        <w:t>GRI index</w:t>
      </w:r>
      <w:bookmarkEnd w:id="26"/>
    </w:p>
    <w:tbl>
      <w:tblPr>
        <w:tblW w:w="9499" w:type="dxa"/>
        <w:tblInd w:w="-431" w:type="dxa"/>
        <w:tblLayout w:type="fixed"/>
        <w:tblCellMar>
          <w:left w:w="70" w:type="dxa"/>
          <w:right w:w="70" w:type="dxa"/>
        </w:tblCellMar>
        <w:tblLook w:val="04A0" w:firstRow="1" w:lastRow="0" w:firstColumn="1" w:lastColumn="0" w:noHBand="0" w:noVBand="1"/>
      </w:tblPr>
      <w:tblGrid>
        <w:gridCol w:w="852"/>
        <w:gridCol w:w="4677"/>
        <w:gridCol w:w="1134"/>
        <w:gridCol w:w="1843"/>
        <w:gridCol w:w="993"/>
      </w:tblGrid>
      <w:tr w:rsidR="00060570" w:rsidRPr="00EA6971" w14:paraId="6811586D" w14:textId="77777777" w:rsidTr="0092405B">
        <w:trPr>
          <w:trHeight w:val="304"/>
        </w:trPr>
        <w:tc>
          <w:tcPr>
            <w:tcW w:w="852" w:type="dxa"/>
            <w:tcBorders>
              <w:top w:val="single" w:sz="4" w:space="0" w:color="auto"/>
              <w:left w:val="single" w:sz="4" w:space="0" w:color="auto"/>
              <w:bottom w:val="single" w:sz="4" w:space="0" w:color="auto"/>
              <w:right w:val="single" w:sz="4" w:space="0" w:color="auto"/>
            </w:tcBorders>
            <w:shd w:val="clear" w:color="000000" w:fill="C0C0C0"/>
            <w:hideMark/>
          </w:tcPr>
          <w:p w14:paraId="71BD1218" w14:textId="77777777" w:rsidR="00060570" w:rsidRPr="00EA6971" w:rsidRDefault="00060570" w:rsidP="006716F2">
            <w:pPr>
              <w:spacing w:after="0" w:line="240" w:lineRule="auto"/>
              <w:rPr>
                <w:rFonts w:eastAsia="Times New Roman" w:cs="Arial"/>
                <w:b/>
                <w:bCs/>
                <w:sz w:val="20"/>
                <w:szCs w:val="20"/>
                <w:lang w:eastAsia="sv-SE"/>
              </w:rPr>
            </w:pPr>
            <w:r w:rsidRPr="00EA6971">
              <w:rPr>
                <w:rFonts w:eastAsia="Times New Roman" w:cs="Arial"/>
                <w:b/>
                <w:bCs/>
                <w:sz w:val="20"/>
                <w:szCs w:val="20"/>
                <w:lang w:eastAsia="sv-SE"/>
              </w:rPr>
              <w:t>Nr</w:t>
            </w:r>
          </w:p>
        </w:tc>
        <w:tc>
          <w:tcPr>
            <w:tcW w:w="4677" w:type="dxa"/>
            <w:tcBorders>
              <w:top w:val="single" w:sz="4" w:space="0" w:color="auto"/>
              <w:left w:val="single" w:sz="4" w:space="0" w:color="auto"/>
              <w:bottom w:val="single" w:sz="4" w:space="0" w:color="auto"/>
              <w:right w:val="single" w:sz="4" w:space="0" w:color="auto"/>
            </w:tcBorders>
            <w:shd w:val="clear" w:color="000000" w:fill="C0C0C0"/>
            <w:hideMark/>
          </w:tcPr>
          <w:p w14:paraId="7D6C2038" w14:textId="77777777" w:rsidR="00060570" w:rsidRPr="00EA6971" w:rsidRDefault="00060570" w:rsidP="006716F2">
            <w:pPr>
              <w:spacing w:after="0" w:line="240" w:lineRule="auto"/>
              <w:rPr>
                <w:rFonts w:eastAsia="Times New Roman" w:cs="Arial"/>
                <w:b/>
                <w:bCs/>
                <w:sz w:val="20"/>
                <w:szCs w:val="20"/>
                <w:lang w:eastAsia="sv-SE"/>
              </w:rPr>
            </w:pPr>
            <w:r w:rsidRPr="00EA6971">
              <w:rPr>
                <w:rFonts w:eastAsia="Times New Roman" w:cs="Arial"/>
                <w:b/>
                <w:bCs/>
                <w:sz w:val="20"/>
                <w:szCs w:val="20"/>
                <w:lang w:eastAsia="sv-SE"/>
              </w:rPr>
              <w:t>Indikator/beskrivning</w:t>
            </w:r>
          </w:p>
        </w:tc>
        <w:tc>
          <w:tcPr>
            <w:tcW w:w="1134" w:type="dxa"/>
            <w:tcBorders>
              <w:top w:val="single" w:sz="4" w:space="0" w:color="auto"/>
              <w:left w:val="single" w:sz="4" w:space="0" w:color="auto"/>
              <w:bottom w:val="single" w:sz="4" w:space="0" w:color="auto"/>
              <w:right w:val="single" w:sz="4" w:space="0" w:color="auto"/>
            </w:tcBorders>
            <w:shd w:val="clear" w:color="000000" w:fill="C0C0C0"/>
          </w:tcPr>
          <w:p w14:paraId="381D0E23" w14:textId="77777777" w:rsidR="00060570" w:rsidRPr="00EA6971" w:rsidRDefault="00060570" w:rsidP="006716F2">
            <w:pPr>
              <w:spacing w:after="0" w:line="240" w:lineRule="auto"/>
              <w:rPr>
                <w:rFonts w:eastAsia="Times New Roman" w:cs="Arial"/>
                <w:b/>
                <w:bCs/>
                <w:sz w:val="20"/>
                <w:szCs w:val="20"/>
                <w:lang w:eastAsia="sv-SE"/>
              </w:rPr>
            </w:pPr>
            <w:r w:rsidRPr="00EA6971">
              <w:rPr>
                <w:rFonts w:eastAsia="Times New Roman" w:cs="Arial"/>
                <w:b/>
                <w:bCs/>
                <w:sz w:val="20"/>
                <w:szCs w:val="20"/>
                <w:lang w:eastAsia="sv-SE"/>
              </w:rPr>
              <w:t>Ej tillämplig</w:t>
            </w:r>
          </w:p>
        </w:tc>
        <w:tc>
          <w:tcPr>
            <w:tcW w:w="1843" w:type="dxa"/>
            <w:tcBorders>
              <w:top w:val="single" w:sz="4" w:space="0" w:color="auto"/>
              <w:left w:val="single" w:sz="4" w:space="0" w:color="auto"/>
              <w:bottom w:val="single" w:sz="4" w:space="0" w:color="auto"/>
              <w:right w:val="single" w:sz="4" w:space="0" w:color="auto"/>
            </w:tcBorders>
            <w:shd w:val="clear" w:color="000000" w:fill="C0C0C0"/>
            <w:hideMark/>
          </w:tcPr>
          <w:p w14:paraId="4DB4300D" w14:textId="77777777" w:rsidR="00060570" w:rsidRPr="00EA6971" w:rsidRDefault="00060570" w:rsidP="006716F2">
            <w:pPr>
              <w:spacing w:after="0" w:line="240" w:lineRule="auto"/>
              <w:rPr>
                <w:rFonts w:eastAsia="Times New Roman" w:cs="Arial"/>
                <w:b/>
                <w:bCs/>
                <w:sz w:val="20"/>
                <w:szCs w:val="20"/>
                <w:lang w:eastAsia="sv-SE"/>
              </w:rPr>
            </w:pPr>
            <w:r w:rsidRPr="00EA6971">
              <w:rPr>
                <w:rFonts w:eastAsia="Times New Roman" w:cs="Arial"/>
                <w:b/>
                <w:bCs/>
                <w:sz w:val="20"/>
                <w:szCs w:val="20"/>
                <w:lang w:eastAsia="sv-SE"/>
              </w:rPr>
              <w:t>Läshänvisning/</w:t>
            </w:r>
          </w:p>
          <w:p w14:paraId="14A44CAD" w14:textId="77777777" w:rsidR="00060570" w:rsidRPr="00EA6971" w:rsidRDefault="00060570" w:rsidP="006716F2">
            <w:pPr>
              <w:spacing w:after="0" w:line="240" w:lineRule="auto"/>
              <w:rPr>
                <w:rFonts w:eastAsia="Times New Roman" w:cs="Arial"/>
                <w:b/>
                <w:bCs/>
                <w:sz w:val="20"/>
                <w:szCs w:val="20"/>
                <w:lang w:eastAsia="sv-SE"/>
              </w:rPr>
            </w:pPr>
            <w:r w:rsidRPr="00EA6971">
              <w:rPr>
                <w:rFonts w:eastAsia="Times New Roman" w:cs="Arial"/>
                <w:b/>
                <w:bCs/>
                <w:sz w:val="20"/>
                <w:szCs w:val="20"/>
                <w:lang w:eastAsia="sv-SE"/>
              </w:rPr>
              <w:t>Kommentar</w:t>
            </w:r>
          </w:p>
        </w:tc>
        <w:tc>
          <w:tcPr>
            <w:tcW w:w="993" w:type="dxa"/>
            <w:tcBorders>
              <w:top w:val="single" w:sz="4" w:space="0" w:color="auto"/>
              <w:left w:val="single" w:sz="4" w:space="0" w:color="auto"/>
              <w:bottom w:val="single" w:sz="4" w:space="0" w:color="auto"/>
              <w:right w:val="single" w:sz="4" w:space="0" w:color="auto"/>
            </w:tcBorders>
            <w:shd w:val="clear" w:color="000000" w:fill="C0C0C0"/>
            <w:hideMark/>
          </w:tcPr>
          <w:p w14:paraId="7E1E362D" w14:textId="77777777" w:rsidR="00060570" w:rsidRPr="00EA6971" w:rsidRDefault="00060570" w:rsidP="006716F2">
            <w:pPr>
              <w:spacing w:after="0" w:line="240" w:lineRule="auto"/>
              <w:jc w:val="center"/>
              <w:rPr>
                <w:rFonts w:eastAsia="Times New Roman" w:cs="Arial"/>
                <w:b/>
                <w:bCs/>
                <w:sz w:val="20"/>
                <w:szCs w:val="20"/>
                <w:lang w:eastAsia="sv-SE"/>
              </w:rPr>
            </w:pPr>
            <w:r w:rsidRPr="00EA6971">
              <w:rPr>
                <w:rFonts w:eastAsia="Times New Roman" w:cs="Arial"/>
                <w:b/>
                <w:bCs/>
                <w:sz w:val="20"/>
                <w:szCs w:val="20"/>
                <w:lang w:eastAsia="sv-SE"/>
              </w:rPr>
              <w:t>ISO 26000</w:t>
            </w:r>
          </w:p>
        </w:tc>
      </w:tr>
      <w:tr w:rsidR="00060570" w:rsidRPr="00EA6971" w14:paraId="656263D0" w14:textId="77777777" w:rsidTr="0092405B">
        <w:trPr>
          <w:trHeight w:val="304"/>
        </w:trPr>
        <w:tc>
          <w:tcPr>
            <w:tcW w:w="852" w:type="dxa"/>
            <w:tcBorders>
              <w:top w:val="single" w:sz="4" w:space="0" w:color="auto"/>
              <w:left w:val="single" w:sz="4" w:space="0" w:color="auto"/>
              <w:bottom w:val="single" w:sz="4" w:space="0" w:color="auto"/>
              <w:right w:val="single" w:sz="4" w:space="0" w:color="auto"/>
            </w:tcBorders>
            <w:shd w:val="clear" w:color="000000" w:fill="C0C0C0"/>
          </w:tcPr>
          <w:p w14:paraId="7C7A4601" w14:textId="77777777" w:rsidR="00060570" w:rsidRPr="00EA6971" w:rsidRDefault="00060570" w:rsidP="006716F2">
            <w:pPr>
              <w:spacing w:after="0" w:line="240" w:lineRule="auto"/>
              <w:rPr>
                <w:rFonts w:eastAsia="Times New Roman" w:cs="Arial"/>
                <w:b/>
                <w:bCs/>
                <w:sz w:val="20"/>
                <w:szCs w:val="20"/>
                <w:lang w:eastAsia="sv-SE"/>
              </w:rPr>
            </w:pPr>
          </w:p>
        </w:tc>
        <w:tc>
          <w:tcPr>
            <w:tcW w:w="4677" w:type="dxa"/>
            <w:tcBorders>
              <w:top w:val="single" w:sz="4" w:space="0" w:color="auto"/>
              <w:left w:val="single" w:sz="4" w:space="0" w:color="auto"/>
              <w:bottom w:val="single" w:sz="4" w:space="0" w:color="auto"/>
              <w:right w:val="single" w:sz="4" w:space="0" w:color="auto"/>
            </w:tcBorders>
            <w:shd w:val="clear" w:color="000000" w:fill="C0C0C0"/>
          </w:tcPr>
          <w:p w14:paraId="79DC9097" w14:textId="77777777" w:rsidR="00060570" w:rsidRPr="00EA6971" w:rsidRDefault="00060570" w:rsidP="006716F2">
            <w:pPr>
              <w:spacing w:after="0" w:line="240" w:lineRule="auto"/>
              <w:rPr>
                <w:rFonts w:eastAsia="Times New Roman" w:cs="Arial"/>
                <w:b/>
                <w:bCs/>
                <w:sz w:val="20"/>
                <w:szCs w:val="20"/>
                <w:lang w:eastAsia="sv-SE"/>
              </w:rPr>
            </w:pPr>
            <w:r w:rsidRPr="00EA6971">
              <w:rPr>
                <w:rFonts w:eastAsia="Times New Roman" w:cs="Arial"/>
                <w:b/>
                <w:bCs/>
                <w:sz w:val="20"/>
                <w:szCs w:val="20"/>
                <w:lang w:eastAsia="sv-SE"/>
              </w:rPr>
              <w:t>Strategi och analys</w:t>
            </w:r>
          </w:p>
        </w:tc>
        <w:tc>
          <w:tcPr>
            <w:tcW w:w="1134" w:type="dxa"/>
            <w:tcBorders>
              <w:top w:val="single" w:sz="4" w:space="0" w:color="auto"/>
              <w:left w:val="single" w:sz="4" w:space="0" w:color="auto"/>
              <w:bottom w:val="single" w:sz="4" w:space="0" w:color="auto"/>
              <w:right w:val="single" w:sz="4" w:space="0" w:color="auto"/>
            </w:tcBorders>
            <w:shd w:val="clear" w:color="000000" w:fill="C0C0C0"/>
          </w:tcPr>
          <w:p w14:paraId="1DA3F75B" w14:textId="77777777" w:rsidR="00060570" w:rsidRPr="00EA6971" w:rsidRDefault="00060570" w:rsidP="006716F2">
            <w:pPr>
              <w:spacing w:after="0" w:line="240" w:lineRule="auto"/>
              <w:rPr>
                <w:rFonts w:eastAsia="Times New Roman" w:cs="Arial"/>
                <w:b/>
                <w:bCs/>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000000" w:fill="C0C0C0"/>
          </w:tcPr>
          <w:p w14:paraId="36551355" w14:textId="77777777" w:rsidR="00060570" w:rsidRPr="00EA6971" w:rsidRDefault="00060570" w:rsidP="006716F2">
            <w:pPr>
              <w:spacing w:after="0" w:line="240" w:lineRule="auto"/>
              <w:rPr>
                <w:rFonts w:eastAsia="Times New Roman" w:cs="Arial"/>
                <w:b/>
                <w:bCs/>
                <w:sz w:val="20"/>
                <w:szCs w:val="20"/>
                <w:lang w:eastAsia="sv-SE"/>
              </w:rPr>
            </w:pPr>
          </w:p>
        </w:tc>
        <w:tc>
          <w:tcPr>
            <w:tcW w:w="993" w:type="dxa"/>
            <w:tcBorders>
              <w:top w:val="single" w:sz="4" w:space="0" w:color="auto"/>
              <w:left w:val="single" w:sz="4" w:space="0" w:color="auto"/>
              <w:bottom w:val="single" w:sz="4" w:space="0" w:color="auto"/>
              <w:right w:val="single" w:sz="4" w:space="0" w:color="auto"/>
            </w:tcBorders>
            <w:shd w:val="clear" w:color="000000" w:fill="C0C0C0"/>
          </w:tcPr>
          <w:p w14:paraId="78D38356" w14:textId="77777777" w:rsidR="00060570" w:rsidRPr="00EA6971" w:rsidRDefault="00060570" w:rsidP="006716F2">
            <w:pPr>
              <w:spacing w:after="0" w:line="240" w:lineRule="auto"/>
              <w:jc w:val="center"/>
              <w:rPr>
                <w:rFonts w:eastAsia="Times New Roman" w:cs="Arial"/>
                <w:b/>
                <w:bCs/>
                <w:sz w:val="20"/>
                <w:szCs w:val="20"/>
                <w:lang w:eastAsia="sv-SE"/>
              </w:rPr>
            </w:pPr>
          </w:p>
        </w:tc>
      </w:tr>
      <w:tr w:rsidR="00060570" w:rsidRPr="00EA6971" w14:paraId="211331B7" w14:textId="77777777" w:rsidTr="0092405B">
        <w:trPr>
          <w:trHeight w:val="615"/>
        </w:trPr>
        <w:tc>
          <w:tcPr>
            <w:tcW w:w="852" w:type="dxa"/>
            <w:tcBorders>
              <w:top w:val="nil"/>
              <w:left w:val="single" w:sz="4" w:space="0" w:color="auto"/>
              <w:bottom w:val="nil"/>
              <w:right w:val="single" w:sz="4" w:space="0" w:color="auto"/>
            </w:tcBorders>
            <w:shd w:val="clear" w:color="000000" w:fill="FCF305"/>
            <w:hideMark/>
          </w:tcPr>
          <w:p w14:paraId="0A9C2039"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G4-1</w:t>
            </w:r>
          </w:p>
        </w:tc>
        <w:tc>
          <w:tcPr>
            <w:tcW w:w="4677" w:type="dxa"/>
            <w:tcBorders>
              <w:top w:val="nil"/>
              <w:left w:val="single" w:sz="4" w:space="0" w:color="auto"/>
              <w:bottom w:val="nil"/>
              <w:right w:val="single" w:sz="4" w:space="0" w:color="auto"/>
            </w:tcBorders>
            <w:shd w:val="clear" w:color="auto" w:fill="auto"/>
            <w:hideMark/>
          </w:tcPr>
          <w:p w14:paraId="228CCF46"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Uttalande från högsta beslutsfattare om relevansen av hållbar utveckling för organisationen och dess strategi</w:t>
            </w:r>
          </w:p>
        </w:tc>
        <w:tc>
          <w:tcPr>
            <w:tcW w:w="1134" w:type="dxa"/>
            <w:tcBorders>
              <w:top w:val="nil"/>
              <w:left w:val="single" w:sz="4" w:space="0" w:color="auto"/>
              <w:bottom w:val="nil"/>
              <w:right w:val="single" w:sz="4" w:space="0" w:color="auto"/>
            </w:tcBorders>
          </w:tcPr>
          <w:p w14:paraId="0EF87C7C" w14:textId="77777777" w:rsidR="00060570" w:rsidRPr="00EA6971" w:rsidRDefault="00060570" w:rsidP="006716F2">
            <w:pPr>
              <w:spacing w:after="0" w:line="240" w:lineRule="auto"/>
              <w:rPr>
                <w:rFonts w:eastAsia="Times New Roman" w:cs="Arial"/>
                <w:sz w:val="20"/>
                <w:szCs w:val="20"/>
                <w:lang w:eastAsia="sv-SE"/>
              </w:rPr>
            </w:pPr>
          </w:p>
        </w:tc>
        <w:tc>
          <w:tcPr>
            <w:tcW w:w="1843" w:type="dxa"/>
            <w:tcBorders>
              <w:top w:val="nil"/>
              <w:left w:val="single" w:sz="4" w:space="0" w:color="auto"/>
              <w:bottom w:val="nil"/>
              <w:right w:val="single" w:sz="4" w:space="0" w:color="auto"/>
            </w:tcBorders>
            <w:shd w:val="clear" w:color="auto" w:fill="auto"/>
            <w:hideMark/>
          </w:tcPr>
          <w:p w14:paraId="6DCC6288"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1.2, 1.3, 1.4)</w:t>
            </w:r>
          </w:p>
        </w:tc>
        <w:tc>
          <w:tcPr>
            <w:tcW w:w="993" w:type="dxa"/>
            <w:tcBorders>
              <w:top w:val="nil"/>
              <w:left w:val="single" w:sz="4" w:space="0" w:color="auto"/>
              <w:bottom w:val="single" w:sz="4" w:space="0" w:color="auto"/>
              <w:right w:val="single" w:sz="4" w:space="0" w:color="auto"/>
            </w:tcBorders>
            <w:shd w:val="clear" w:color="auto" w:fill="auto"/>
            <w:hideMark/>
          </w:tcPr>
          <w:p w14:paraId="54ECF22B" w14:textId="77777777" w:rsidR="00060570" w:rsidRPr="00EA6971" w:rsidRDefault="00060570" w:rsidP="006716F2">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49B5A8FD" w14:textId="77777777" w:rsidTr="0092405B">
        <w:trPr>
          <w:trHeight w:val="559"/>
        </w:trPr>
        <w:tc>
          <w:tcPr>
            <w:tcW w:w="852" w:type="dxa"/>
            <w:tcBorders>
              <w:top w:val="single" w:sz="4" w:space="0" w:color="auto"/>
              <w:left w:val="single" w:sz="4" w:space="0" w:color="auto"/>
              <w:bottom w:val="single" w:sz="4" w:space="0" w:color="auto"/>
              <w:right w:val="single" w:sz="4" w:space="0" w:color="auto"/>
            </w:tcBorders>
            <w:shd w:val="clear" w:color="000000" w:fill="FCF305"/>
            <w:hideMark/>
          </w:tcPr>
          <w:p w14:paraId="78670801"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G4-2</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3AAF5FE"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Beskrivning av huvudsaklig påverkan, risker och möjligheter.</w:t>
            </w:r>
          </w:p>
        </w:tc>
        <w:tc>
          <w:tcPr>
            <w:tcW w:w="1134" w:type="dxa"/>
            <w:tcBorders>
              <w:top w:val="single" w:sz="4" w:space="0" w:color="auto"/>
              <w:left w:val="single" w:sz="4" w:space="0" w:color="auto"/>
              <w:bottom w:val="single" w:sz="4" w:space="0" w:color="auto"/>
              <w:right w:val="single" w:sz="4" w:space="0" w:color="auto"/>
            </w:tcBorders>
          </w:tcPr>
          <w:p w14:paraId="70ABCCD7" w14:textId="77777777" w:rsidR="00060570" w:rsidRPr="00EA6971" w:rsidRDefault="00060570" w:rsidP="006716F2">
            <w:pPr>
              <w:spacing w:after="24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9DE3D75" w14:textId="77777777" w:rsidR="00060570" w:rsidRPr="00EA6971" w:rsidRDefault="00060570" w:rsidP="006716F2">
            <w:pPr>
              <w:spacing w:after="24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1.6.1, 1.6.2)</w:t>
            </w:r>
          </w:p>
        </w:tc>
        <w:tc>
          <w:tcPr>
            <w:tcW w:w="993" w:type="dxa"/>
            <w:tcBorders>
              <w:top w:val="nil"/>
              <w:left w:val="single" w:sz="4" w:space="0" w:color="auto"/>
              <w:bottom w:val="single" w:sz="4" w:space="0" w:color="auto"/>
              <w:right w:val="single" w:sz="4" w:space="0" w:color="auto"/>
            </w:tcBorders>
            <w:shd w:val="clear" w:color="auto" w:fill="auto"/>
            <w:hideMark/>
          </w:tcPr>
          <w:p w14:paraId="2DE873F7" w14:textId="77777777" w:rsidR="00060570" w:rsidRPr="00EA6971" w:rsidRDefault="00060570" w:rsidP="006716F2">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29EEC36F" w14:textId="77777777" w:rsidTr="0092405B">
        <w:trPr>
          <w:trHeight w:val="228"/>
        </w:trPr>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20DF14" w14:textId="77777777" w:rsidR="00060570" w:rsidRPr="00EA6971" w:rsidRDefault="00060570" w:rsidP="00571E0F">
            <w:pPr>
              <w:spacing w:after="0" w:line="240" w:lineRule="auto"/>
              <w:rPr>
                <w:rFonts w:eastAsia="Times New Roman" w:cs="Arial"/>
                <w:b/>
                <w:bCs/>
                <w:sz w:val="20"/>
                <w:szCs w:val="20"/>
                <w:lang w:eastAsia="sv-SE"/>
              </w:rPr>
            </w:pP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1AF50E" w14:textId="77777777" w:rsidR="00060570" w:rsidRPr="00EA6971" w:rsidRDefault="00060570" w:rsidP="00571E0F">
            <w:pPr>
              <w:spacing w:after="0" w:line="240" w:lineRule="auto"/>
              <w:rPr>
                <w:rFonts w:eastAsia="Times New Roman" w:cs="Arial"/>
                <w:b/>
                <w:bCs/>
                <w:sz w:val="20"/>
                <w:szCs w:val="20"/>
                <w:lang w:eastAsia="sv-SE"/>
              </w:rPr>
            </w:pPr>
            <w:r w:rsidRPr="00EA6971">
              <w:rPr>
                <w:rFonts w:eastAsia="Times New Roman" w:cs="Arial"/>
                <w:b/>
                <w:bCs/>
                <w:sz w:val="20"/>
                <w:szCs w:val="20"/>
                <w:lang w:eastAsia="sv-SE"/>
              </w:rPr>
              <w:t>Organisations profil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37FE6A" w14:textId="77777777" w:rsidR="00060570" w:rsidRPr="00EA6971" w:rsidRDefault="00060570" w:rsidP="00571E0F">
            <w:pPr>
              <w:spacing w:after="0" w:line="240" w:lineRule="auto"/>
              <w:rPr>
                <w:rFonts w:eastAsia="Times New Roman" w:cs="Arial"/>
                <w:b/>
                <w:bCs/>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280AA9" w14:textId="77777777" w:rsidR="00060570" w:rsidRPr="00EA6971" w:rsidRDefault="00060570" w:rsidP="00571E0F">
            <w:pPr>
              <w:spacing w:after="0" w:line="240" w:lineRule="auto"/>
              <w:rPr>
                <w:rFonts w:eastAsia="Times New Roman" w:cs="Arial"/>
                <w:b/>
                <w:bCs/>
                <w:sz w:val="20"/>
                <w:szCs w:val="20"/>
                <w:lang w:eastAsia="sv-SE"/>
              </w:rPr>
            </w:pP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1C2DF3CD" w14:textId="77777777" w:rsidR="00060570" w:rsidRPr="00EA6971" w:rsidRDefault="00060570" w:rsidP="00571E0F">
            <w:pPr>
              <w:spacing w:after="0" w:line="240" w:lineRule="auto"/>
              <w:jc w:val="center"/>
              <w:rPr>
                <w:rFonts w:eastAsia="Times New Roman" w:cs="Arial"/>
                <w:b/>
                <w:bCs/>
                <w:sz w:val="20"/>
                <w:szCs w:val="20"/>
                <w:lang w:eastAsia="sv-SE"/>
              </w:rPr>
            </w:pPr>
          </w:p>
        </w:tc>
      </w:tr>
      <w:tr w:rsidR="00060570" w:rsidRPr="00EA6971" w14:paraId="1B0E8C42" w14:textId="77777777" w:rsidTr="0092405B">
        <w:trPr>
          <w:trHeight w:val="304"/>
        </w:trPr>
        <w:tc>
          <w:tcPr>
            <w:tcW w:w="852" w:type="dxa"/>
            <w:tcBorders>
              <w:top w:val="nil"/>
              <w:left w:val="single" w:sz="4" w:space="0" w:color="auto"/>
              <w:bottom w:val="single" w:sz="4" w:space="0" w:color="auto"/>
              <w:right w:val="single" w:sz="4" w:space="0" w:color="auto"/>
            </w:tcBorders>
            <w:shd w:val="clear" w:color="000000" w:fill="FCF305"/>
            <w:hideMark/>
          </w:tcPr>
          <w:p w14:paraId="47CC497F"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G4-3</w:t>
            </w:r>
          </w:p>
        </w:tc>
        <w:tc>
          <w:tcPr>
            <w:tcW w:w="4677" w:type="dxa"/>
            <w:tcBorders>
              <w:top w:val="nil"/>
              <w:left w:val="nil"/>
              <w:bottom w:val="single" w:sz="4" w:space="0" w:color="auto"/>
              <w:right w:val="single" w:sz="4" w:space="0" w:color="auto"/>
            </w:tcBorders>
            <w:shd w:val="clear" w:color="auto" w:fill="auto"/>
            <w:hideMark/>
          </w:tcPr>
          <w:p w14:paraId="032C749E"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Organisationens namn</w:t>
            </w:r>
          </w:p>
        </w:tc>
        <w:tc>
          <w:tcPr>
            <w:tcW w:w="1134" w:type="dxa"/>
            <w:tcBorders>
              <w:top w:val="nil"/>
              <w:left w:val="single" w:sz="4" w:space="0" w:color="auto"/>
              <w:bottom w:val="single" w:sz="4" w:space="0" w:color="auto"/>
              <w:right w:val="single" w:sz="4" w:space="0" w:color="auto"/>
            </w:tcBorders>
          </w:tcPr>
          <w:p w14:paraId="5B827EF4" w14:textId="77777777" w:rsidR="00060570" w:rsidRPr="00EA6971" w:rsidRDefault="00060570" w:rsidP="006716F2">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384D4144"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framsida</w:t>
            </w:r>
          </w:p>
        </w:tc>
        <w:tc>
          <w:tcPr>
            <w:tcW w:w="993" w:type="dxa"/>
            <w:tcBorders>
              <w:top w:val="nil"/>
              <w:left w:val="nil"/>
              <w:bottom w:val="single" w:sz="4" w:space="0" w:color="auto"/>
              <w:right w:val="single" w:sz="4" w:space="0" w:color="auto"/>
            </w:tcBorders>
            <w:shd w:val="clear" w:color="auto" w:fill="auto"/>
            <w:hideMark/>
          </w:tcPr>
          <w:p w14:paraId="06CDAA65" w14:textId="77777777" w:rsidR="00060570" w:rsidRPr="00EA6971" w:rsidRDefault="00060570" w:rsidP="006716F2">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0C567BE4" w14:textId="77777777" w:rsidTr="0092405B">
        <w:trPr>
          <w:trHeight w:val="340"/>
        </w:trPr>
        <w:tc>
          <w:tcPr>
            <w:tcW w:w="852" w:type="dxa"/>
            <w:tcBorders>
              <w:top w:val="nil"/>
              <w:left w:val="single" w:sz="4" w:space="0" w:color="auto"/>
              <w:bottom w:val="single" w:sz="4" w:space="0" w:color="auto"/>
              <w:right w:val="single" w:sz="4" w:space="0" w:color="auto"/>
            </w:tcBorders>
            <w:shd w:val="clear" w:color="000000" w:fill="FCF305"/>
            <w:hideMark/>
          </w:tcPr>
          <w:p w14:paraId="18276FDC"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G4-4</w:t>
            </w:r>
          </w:p>
        </w:tc>
        <w:tc>
          <w:tcPr>
            <w:tcW w:w="4677" w:type="dxa"/>
            <w:tcBorders>
              <w:top w:val="nil"/>
              <w:left w:val="single" w:sz="4" w:space="0" w:color="auto"/>
              <w:bottom w:val="single" w:sz="4" w:space="0" w:color="auto"/>
              <w:right w:val="single" w:sz="4" w:space="0" w:color="auto"/>
            </w:tcBorders>
            <w:shd w:val="clear" w:color="auto" w:fill="auto"/>
            <w:hideMark/>
          </w:tcPr>
          <w:p w14:paraId="3BFB0105"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De viktigaste varumärkena, produkterna och/eller tjänsterna</w:t>
            </w:r>
          </w:p>
        </w:tc>
        <w:tc>
          <w:tcPr>
            <w:tcW w:w="1134" w:type="dxa"/>
            <w:tcBorders>
              <w:top w:val="nil"/>
              <w:left w:val="single" w:sz="4" w:space="0" w:color="auto"/>
              <w:bottom w:val="single" w:sz="4" w:space="0" w:color="auto"/>
              <w:right w:val="single" w:sz="4" w:space="0" w:color="auto"/>
            </w:tcBorders>
          </w:tcPr>
          <w:p w14:paraId="2762FC34" w14:textId="77777777" w:rsidR="00060570" w:rsidRPr="00EA6971" w:rsidRDefault="00060570" w:rsidP="006716F2">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1B721323"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ÅR, GRI (Stycke 1.1)</w:t>
            </w:r>
          </w:p>
        </w:tc>
        <w:tc>
          <w:tcPr>
            <w:tcW w:w="993" w:type="dxa"/>
            <w:tcBorders>
              <w:top w:val="nil"/>
              <w:left w:val="single" w:sz="4" w:space="0" w:color="auto"/>
              <w:bottom w:val="single" w:sz="4" w:space="0" w:color="auto"/>
              <w:right w:val="single" w:sz="4" w:space="0" w:color="auto"/>
            </w:tcBorders>
            <w:shd w:val="clear" w:color="auto" w:fill="auto"/>
            <w:hideMark/>
          </w:tcPr>
          <w:p w14:paraId="0254DAB1" w14:textId="77777777" w:rsidR="00060570" w:rsidRPr="00EA6971" w:rsidRDefault="00060570" w:rsidP="006716F2">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2CC37D60" w14:textId="77777777" w:rsidTr="0092405B">
        <w:trPr>
          <w:trHeight w:val="322"/>
        </w:trPr>
        <w:tc>
          <w:tcPr>
            <w:tcW w:w="852" w:type="dxa"/>
            <w:tcBorders>
              <w:top w:val="nil"/>
              <w:left w:val="single" w:sz="4" w:space="0" w:color="auto"/>
              <w:bottom w:val="single" w:sz="4" w:space="0" w:color="auto"/>
              <w:right w:val="single" w:sz="4" w:space="0" w:color="auto"/>
            </w:tcBorders>
            <w:shd w:val="clear" w:color="000000" w:fill="FCF305"/>
            <w:hideMark/>
          </w:tcPr>
          <w:p w14:paraId="6CDB8729"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G4-5</w:t>
            </w:r>
          </w:p>
        </w:tc>
        <w:tc>
          <w:tcPr>
            <w:tcW w:w="4677" w:type="dxa"/>
            <w:tcBorders>
              <w:top w:val="nil"/>
              <w:left w:val="single" w:sz="4" w:space="0" w:color="auto"/>
              <w:bottom w:val="single" w:sz="4" w:space="0" w:color="auto"/>
              <w:right w:val="single" w:sz="4" w:space="0" w:color="auto"/>
            </w:tcBorders>
            <w:shd w:val="clear" w:color="auto" w:fill="auto"/>
            <w:hideMark/>
          </w:tcPr>
          <w:p w14:paraId="3CDD1C9B"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Lokalisering av organisationens huvudkontor</w:t>
            </w:r>
          </w:p>
        </w:tc>
        <w:tc>
          <w:tcPr>
            <w:tcW w:w="1134" w:type="dxa"/>
            <w:tcBorders>
              <w:top w:val="nil"/>
              <w:left w:val="single" w:sz="4" w:space="0" w:color="auto"/>
              <w:bottom w:val="single" w:sz="4" w:space="0" w:color="auto"/>
              <w:right w:val="single" w:sz="4" w:space="0" w:color="auto"/>
            </w:tcBorders>
          </w:tcPr>
          <w:p w14:paraId="099F4672" w14:textId="77777777" w:rsidR="00060570" w:rsidRPr="00EA6971" w:rsidRDefault="00060570" w:rsidP="006716F2">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3E5E389D"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ÅR, GRI (Stycke 1.1)</w:t>
            </w:r>
          </w:p>
        </w:tc>
        <w:tc>
          <w:tcPr>
            <w:tcW w:w="993" w:type="dxa"/>
            <w:tcBorders>
              <w:top w:val="nil"/>
              <w:left w:val="single" w:sz="4" w:space="0" w:color="auto"/>
              <w:bottom w:val="single" w:sz="4" w:space="0" w:color="auto"/>
              <w:right w:val="single" w:sz="4" w:space="0" w:color="auto"/>
            </w:tcBorders>
            <w:shd w:val="clear" w:color="auto" w:fill="auto"/>
            <w:hideMark/>
          </w:tcPr>
          <w:p w14:paraId="3FAEB787" w14:textId="77777777" w:rsidR="00060570" w:rsidRPr="00EA6971" w:rsidRDefault="00060570" w:rsidP="006716F2">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07384F2B" w14:textId="77777777" w:rsidTr="0092405B">
        <w:trPr>
          <w:trHeight w:val="874"/>
        </w:trPr>
        <w:tc>
          <w:tcPr>
            <w:tcW w:w="852" w:type="dxa"/>
            <w:tcBorders>
              <w:top w:val="nil"/>
              <w:left w:val="single" w:sz="4" w:space="0" w:color="auto"/>
              <w:bottom w:val="single" w:sz="4" w:space="0" w:color="auto"/>
              <w:right w:val="single" w:sz="4" w:space="0" w:color="auto"/>
            </w:tcBorders>
            <w:shd w:val="clear" w:color="000000" w:fill="FCF305"/>
            <w:hideMark/>
          </w:tcPr>
          <w:p w14:paraId="62ADA2B7"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G4-6</w:t>
            </w:r>
          </w:p>
        </w:tc>
        <w:tc>
          <w:tcPr>
            <w:tcW w:w="4677" w:type="dxa"/>
            <w:tcBorders>
              <w:top w:val="nil"/>
              <w:left w:val="single" w:sz="4" w:space="0" w:color="auto"/>
              <w:bottom w:val="single" w:sz="4" w:space="0" w:color="auto"/>
              <w:right w:val="single" w:sz="4" w:space="0" w:color="auto"/>
            </w:tcBorders>
            <w:shd w:val="clear" w:color="auto" w:fill="auto"/>
            <w:hideMark/>
          </w:tcPr>
          <w:p w14:paraId="3A483453"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Antal länder som organisationen har verksamhet i, vilka länder där verksamhet bedrivs, eller som är särskilt relevanta för de frågor som berör hållbar utveckling i redovisningen</w:t>
            </w:r>
          </w:p>
        </w:tc>
        <w:tc>
          <w:tcPr>
            <w:tcW w:w="1134" w:type="dxa"/>
            <w:tcBorders>
              <w:top w:val="nil"/>
              <w:left w:val="single" w:sz="4" w:space="0" w:color="auto"/>
              <w:bottom w:val="single" w:sz="4" w:space="0" w:color="auto"/>
              <w:right w:val="single" w:sz="4" w:space="0" w:color="auto"/>
            </w:tcBorders>
          </w:tcPr>
          <w:p w14:paraId="7F0C38ED" w14:textId="77777777" w:rsidR="00060570" w:rsidRPr="00EA6971" w:rsidRDefault="00060570" w:rsidP="006716F2">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12F0E811"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ÅR </w:t>
            </w:r>
          </w:p>
        </w:tc>
        <w:tc>
          <w:tcPr>
            <w:tcW w:w="993" w:type="dxa"/>
            <w:tcBorders>
              <w:top w:val="nil"/>
              <w:left w:val="single" w:sz="4" w:space="0" w:color="auto"/>
              <w:bottom w:val="single" w:sz="4" w:space="0" w:color="auto"/>
              <w:right w:val="single" w:sz="4" w:space="0" w:color="auto"/>
            </w:tcBorders>
            <w:shd w:val="clear" w:color="auto" w:fill="auto"/>
            <w:hideMark/>
          </w:tcPr>
          <w:p w14:paraId="3F039357" w14:textId="77777777" w:rsidR="00060570" w:rsidRPr="00EA6971" w:rsidRDefault="00060570" w:rsidP="006716F2">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5A6D80DF" w14:textId="77777777" w:rsidTr="0092405B">
        <w:trPr>
          <w:trHeight w:val="179"/>
        </w:trPr>
        <w:tc>
          <w:tcPr>
            <w:tcW w:w="852" w:type="dxa"/>
            <w:tcBorders>
              <w:top w:val="nil"/>
              <w:left w:val="single" w:sz="4" w:space="0" w:color="auto"/>
              <w:bottom w:val="single" w:sz="4" w:space="0" w:color="auto"/>
              <w:right w:val="single" w:sz="4" w:space="0" w:color="auto"/>
            </w:tcBorders>
            <w:shd w:val="clear" w:color="000000" w:fill="FCF305"/>
            <w:hideMark/>
          </w:tcPr>
          <w:p w14:paraId="1641E0F1"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G4-7</w:t>
            </w:r>
          </w:p>
        </w:tc>
        <w:tc>
          <w:tcPr>
            <w:tcW w:w="4677" w:type="dxa"/>
            <w:tcBorders>
              <w:top w:val="nil"/>
              <w:left w:val="single" w:sz="4" w:space="0" w:color="auto"/>
              <w:bottom w:val="single" w:sz="4" w:space="0" w:color="auto"/>
              <w:right w:val="single" w:sz="4" w:space="0" w:color="auto"/>
            </w:tcBorders>
            <w:shd w:val="clear" w:color="auto" w:fill="auto"/>
            <w:hideMark/>
          </w:tcPr>
          <w:p w14:paraId="785F397E"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Ägarstruktur och företagsform</w:t>
            </w:r>
          </w:p>
        </w:tc>
        <w:tc>
          <w:tcPr>
            <w:tcW w:w="1134" w:type="dxa"/>
            <w:tcBorders>
              <w:top w:val="nil"/>
              <w:left w:val="single" w:sz="4" w:space="0" w:color="auto"/>
              <w:bottom w:val="single" w:sz="4" w:space="0" w:color="auto"/>
              <w:right w:val="single" w:sz="4" w:space="0" w:color="auto"/>
            </w:tcBorders>
          </w:tcPr>
          <w:p w14:paraId="782D7C99" w14:textId="77777777" w:rsidR="00060570" w:rsidRPr="00EA6971" w:rsidRDefault="00060570" w:rsidP="006716F2">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0411F418"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ÅR GRI (Stycke 1.5.1)</w:t>
            </w:r>
          </w:p>
        </w:tc>
        <w:tc>
          <w:tcPr>
            <w:tcW w:w="993" w:type="dxa"/>
            <w:tcBorders>
              <w:top w:val="nil"/>
              <w:left w:val="single" w:sz="4" w:space="0" w:color="auto"/>
              <w:bottom w:val="single" w:sz="4" w:space="0" w:color="auto"/>
              <w:right w:val="single" w:sz="4" w:space="0" w:color="auto"/>
            </w:tcBorders>
            <w:shd w:val="clear" w:color="auto" w:fill="auto"/>
            <w:hideMark/>
          </w:tcPr>
          <w:p w14:paraId="3FCDEF98" w14:textId="77777777" w:rsidR="00060570" w:rsidRPr="00EA6971" w:rsidRDefault="00060570" w:rsidP="006716F2">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6576E81F" w14:textId="77777777" w:rsidTr="0092405B">
        <w:trPr>
          <w:trHeight w:val="635"/>
        </w:trPr>
        <w:tc>
          <w:tcPr>
            <w:tcW w:w="852" w:type="dxa"/>
            <w:tcBorders>
              <w:top w:val="nil"/>
              <w:left w:val="single" w:sz="4" w:space="0" w:color="auto"/>
              <w:bottom w:val="single" w:sz="4" w:space="0" w:color="auto"/>
              <w:right w:val="single" w:sz="4" w:space="0" w:color="auto"/>
            </w:tcBorders>
            <w:shd w:val="clear" w:color="000000" w:fill="FCF305"/>
            <w:hideMark/>
          </w:tcPr>
          <w:p w14:paraId="35F5BF02"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G4-8</w:t>
            </w:r>
          </w:p>
        </w:tc>
        <w:tc>
          <w:tcPr>
            <w:tcW w:w="4677" w:type="dxa"/>
            <w:tcBorders>
              <w:top w:val="nil"/>
              <w:left w:val="single" w:sz="4" w:space="0" w:color="auto"/>
              <w:bottom w:val="single" w:sz="4" w:space="0" w:color="auto"/>
              <w:right w:val="single" w:sz="4" w:space="0" w:color="auto"/>
            </w:tcBorders>
            <w:shd w:val="clear" w:color="auto" w:fill="auto"/>
            <w:hideMark/>
          </w:tcPr>
          <w:p w14:paraId="2FAD7AF5"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Marknader som organisationen är verksam på (inklusive geografisk fördelning, sektorer man är verksam i och typ av kunder/förmånstagare)</w:t>
            </w:r>
          </w:p>
        </w:tc>
        <w:tc>
          <w:tcPr>
            <w:tcW w:w="1134" w:type="dxa"/>
            <w:tcBorders>
              <w:top w:val="nil"/>
              <w:left w:val="single" w:sz="4" w:space="0" w:color="auto"/>
              <w:bottom w:val="single" w:sz="4" w:space="0" w:color="auto"/>
              <w:right w:val="single" w:sz="4" w:space="0" w:color="auto"/>
            </w:tcBorders>
          </w:tcPr>
          <w:p w14:paraId="2D52CA91" w14:textId="77777777" w:rsidR="00060570" w:rsidRPr="00EA6971" w:rsidRDefault="00060570" w:rsidP="006716F2">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5C31F40A"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ÅR </w:t>
            </w:r>
          </w:p>
        </w:tc>
        <w:tc>
          <w:tcPr>
            <w:tcW w:w="993" w:type="dxa"/>
            <w:tcBorders>
              <w:top w:val="nil"/>
              <w:left w:val="single" w:sz="4" w:space="0" w:color="auto"/>
              <w:bottom w:val="single" w:sz="4" w:space="0" w:color="auto"/>
              <w:right w:val="single" w:sz="4" w:space="0" w:color="auto"/>
            </w:tcBorders>
            <w:shd w:val="clear" w:color="auto" w:fill="auto"/>
            <w:hideMark/>
          </w:tcPr>
          <w:p w14:paraId="036C1BE6" w14:textId="77777777" w:rsidR="00060570" w:rsidRPr="00EA6971" w:rsidRDefault="00060570" w:rsidP="006716F2">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1D608E1D" w14:textId="77777777" w:rsidTr="0092405B">
        <w:trPr>
          <w:trHeight w:val="830"/>
        </w:trPr>
        <w:tc>
          <w:tcPr>
            <w:tcW w:w="852" w:type="dxa"/>
            <w:tcBorders>
              <w:top w:val="nil"/>
              <w:left w:val="single" w:sz="4" w:space="0" w:color="auto"/>
              <w:bottom w:val="single" w:sz="4" w:space="0" w:color="auto"/>
              <w:right w:val="single" w:sz="4" w:space="0" w:color="auto"/>
            </w:tcBorders>
            <w:shd w:val="clear" w:color="000000" w:fill="FCF305"/>
            <w:hideMark/>
          </w:tcPr>
          <w:p w14:paraId="1DB3D57D"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G4-9</w:t>
            </w:r>
          </w:p>
        </w:tc>
        <w:tc>
          <w:tcPr>
            <w:tcW w:w="4677" w:type="dxa"/>
            <w:tcBorders>
              <w:top w:val="nil"/>
              <w:left w:val="single" w:sz="4" w:space="0" w:color="auto"/>
              <w:bottom w:val="single" w:sz="4" w:space="0" w:color="auto"/>
              <w:right w:val="single" w:sz="4" w:space="0" w:color="auto"/>
            </w:tcBorders>
            <w:shd w:val="clear" w:color="auto" w:fill="auto"/>
            <w:hideMark/>
          </w:tcPr>
          <w:p w14:paraId="1711E94A"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Den redovisande organisationens storlek (till exempel antal anställda, nettoförsäljning, total finansiering fördelat på skulder och eget kapital, kvantitet/volym av produkter och tjänster)</w:t>
            </w:r>
          </w:p>
        </w:tc>
        <w:tc>
          <w:tcPr>
            <w:tcW w:w="1134" w:type="dxa"/>
            <w:tcBorders>
              <w:top w:val="nil"/>
              <w:left w:val="single" w:sz="4" w:space="0" w:color="auto"/>
              <w:bottom w:val="single" w:sz="4" w:space="0" w:color="auto"/>
              <w:right w:val="single" w:sz="4" w:space="0" w:color="auto"/>
            </w:tcBorders>
          </w:tcPr>
          <w:p w14:paraId="252F7D4C" w14:textId="77777777" w:rsidR="00060570" w:rsidRPr="00EA6971" w:rsidRDefault="00060570" w:rsidP="006716F2">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29E6960A"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ÅR (hela)</w:t>
            </w:r>
          </w:p>
        </w:tc>
        <w:tc>
          <w:tcPr>
            <w:tcW w:w="993" w:type="dxa"/>
            <w:tcBorders>
              <w:top w:val="nil"/>
              <w:left w:val="single" w:sz="4" w:space="0" w:color="auto"/>
              <w:bottom w:val="single" w:sz="4" w:space="0" w:color="auto"/>
              <w:right w:val="single" w:sz="4" w:space="0" w:color="auto"/>
            </w:tcBorders>
            <w:shd w:val="clear" w:color="auto" w:fill="auto"/>
            <w:hideMark/>
          </w:tcPr>
          <w:p w14:paraId="0E16D7C6" w14:textId="77777777" w:rsidR="00060570" w:rsidRPr="00EA6971" w:rsidRDefault="00060570" w:rsidP="006716F2">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5812A4D7" w14:textId="77777777" w:rsidTr="0092405B">
        <w:trPr>
          <w:trHeight w:val="293"/>
        </w:trPr>
        <w:tc>
          <w:tcPr>
            <w:tcW w:w="852" w:type="dxa"/>
            <w:tcBorders>
              <w:top w:val="nil"/>
              <w:left w:val="single" w:sz="4" w:space="0" w:color="auto"/>
              <w:bottom w:val="single" w:sz="4" w:space="0" w:color="auto"/>
              <w:right w:val="single" w:sz="4" w:space="0" w:color="auto"/>
            </w:tcBorders>
            <w:shd w:val="clear" w:color="000000" w:fill="FCF305"/>
          </w:tcPr>
          <w:p w14:paraId="1C38B771"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G4-12</w:t>
            </w:r>
          </w:p>
        </w:tc>
        <w:tc>
          <w:tcPr>
            <w:tcW w:w="4677" w:type="dxa"/>
            <w:tcBorders>
              <w:top w:val="nil"/>
              <w:left w:val="single" w:sz="4" w:space="0" w:color="auto"/>
              <w:bottom w:val="single" w:sz="4" w:space="0" w:color="auto"/>
              <w:right w:val="single" w:sz="4" w:space="0" w:color="auto"/>
            </w:tcBorders>
            <w:shd w:val="clear" w:color="auto" w:fill="auto"/>
          </w:tcPr>
          <w:p w14:paraId="46E239C6"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Beskriv företagets leverantörskedja</w:t>
            </w:r>
          </w:p>
        </w:tc>
        <w:tc>
          <w:tcPr>
            <w:tcW w:w="1134" w:type="dxa"/>
            <w:tcBorders>
              <w:top w:val="nil"/>
              <w:left w:val="single" w:sz="4" w:space="0" w:color="auto"/>
              <w:bottom w:val="single" w:sz="4" w:space="0" w:color="auto"/>
              <w:right w:val="single" w:sz="4" w:space="0" w:color="auto"/>
            </w:tcBorders>
          </w:tcPr>
          <w:p w14:paraId="6FCF44F5" w14:textId="77777777" w:rsidR="00060570" w:rsidRPr="00EA6971" w:rsidRDefault="00060570" w:rsidP="006716F2">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7D9557A6" w14:textId="77777777" w:rsidR="00060570" w:rsidRPr="00EA6971" w:rsidRDefault="00060570" w:rsidP="006716F2">
            <w:pPr>
              <w:spacing w:after="0" w:line="240" w:lineRule="auto"/>
              <w:rPr>
                <w:rFonts w:eastAsia="Times New Roman" w:cs="Arial"/>
                <w:sz w:val="20"/>
                <w:szCs w:val="20"/>
                <w:lang w:eastAsia="sv-SE"/>
              </w:rPr>
            </w:pPr>
            <w:r w:rsidRPr="00EA6971">
              <w:rPr>
                <w:rFonts w:eastAsia="Times New Roman" w:cs="Arial"/>
                <w:sz w:val="20"/>
                <w:szCs w:val="20"/>
                <w:lang w:eastAsia="sv-SE"/>
              </w:rPr>
              <w:t>GRI 1.6.3</w:t>
            </w:r>
          </w:p>
        </w:tc>
        <w:tc>
          <w:tcPr>
            <w:tcW w:w="993" w:type="dxa"/>
            <w:tcBorders>
              <w:top w:val="nil"/>
              <w:left w:val="single" w:sz="4" w:space="0" w:color="auto"/>
              <w:bottom w:val="single" w:sz="4" w:space="0" w:color="auto"/>
              <w:right w:val="single" w:sz="4" w:space="0" w:color="auto"/>
            </w:tcBorders>
            <w:shd w:val="clear" w:color="auto" w:fill="auto"/>
          </w:tcPr>
          <w:p w14:paraId="655063D4" w14:textId="77777777" w:rsidR="00060570" w:rsidRPr="00EA6971" w:rsidRDefault="00060570" w:rsidP="006716F2">
            <w:pPr>
              <w:spacing w:after="0" w:line="240" w:lineRule="auto"/>
              <w:jc w:val="center"/>
              <w:rPr>
                <w:rFonts w:eastAsia="Times New Roman" w:cs="Arial"/>
                <w:color w:val="FF0000"/>
                <w:sz w:val="20"/>
                <w:szCs w:val="20"/>
                <w:lang w:eastAsia="sv-SE"/>
              </w:rPr>
            </w:pPr>
            <w:r w:rsidRPr="00EA6971">
              <w:rPr>
                <w:rFonts w:eastAsia="Times New Roman" w:cs="Arial"/>
                <w:sz w:val="20"/>
                <w:szCs w:val="20"/>
                <w:lang w:eastAsia="sv-SE"/>
              </w:rPr>
              <w:t>6.2</w:t>
            </w:r>
          </w:p>
        </w:tc>
      </w:tr>
      <w:tr w:rsidR="00060570" w:rsidRPr="00EA6971" w14:paraId="66659964" w14:textId="77777777" w:rsidTr="0092405B">
        <w:trPr>
          <w:trHeight w:val="293"/>
        </w:trPr>
        <w:tc>
          <w:tcPr>
            <w:tcW w:w="852" w:type="dxa"/>
            <w:tcBorders>
              <w:top w:val="nil"/>
              <w:left w:val="single" w:sz="4" w:space="0" w:color="auto"/>
              <w:bottom w:val="single" w:sz="4" w:space="0" w:color="auto"/>
              <w:right w:val="single" w:sz="4" w:space="0" w:color="auto"/>
            </w:tcBorders>
            <w:shd w:val="clear" w:color="000000" w:fill="FCF305"/>
          </w:tcPr>
          <w:p w14:paraId="5E4AAA5D" w14:textId="77777777" w:rsidR="00060570" w:rsidRPr="00EA6971" w:rsidRDefault="00060570" w:rsidP="00571E0F">
            <w:pPr>
              <w:spacing w:after="0" w:line="240" w:lineRule="auto"/>
              <w:rPr>
                <w:rFonts w:eastAsia="Times New Roman" w:cs="Arial"/>
                <w:sz w:val="20"/>
                <w:szCs w:val="20"/>
                <w:lang w:eastAsia="sv-SE"/>
              </w:rPr>
            </w:pPr>
            <w:r w:rsidRPr="00EA6971">
              <w:rPr>
                <w:rFonts w:eastAsia="Times New Roman" w:cs="Arial"/>
                <w:sz w:val="20"/>
                <w:szCs w:val="20"/>
                <w:lang w:eastAsia="sv-SE"/>
              </w:rPr>
              <w:t>G4-13</w:t>
            </w:r>
          </w:p>
        </w:tc>
        <w:tc>
          <w:tcPr>
            <w:tcW w:w="4677" w:type="dxa"/>
            <w:tcBorders>
              <w:top w:val="nil"/>
              <w:left w:val="single" w:sz="4" w:space="0" w:color="auto"/>
              <w:bottom w:val="single" w:sz="4" w:space="0" w:color="auto"/>
              <w:right w:val="single" w:sz="4" w:space="0" w:color="auto"/>
            </w:tcBorders>
            <w:shd w:val="clear" w:color="auto" w:fill="auto"/>
          </w:tcPr>
          <w:p w14:paraId="71769EF4" w14:textId="77777777" w:rsidR="00060570" w:rsidRPr="00EE4B96" w:rsidRDefault="00060570" w:rsidP="00571E0F">
            <w:pPr>
              <w:spacing w:after="0" w:line="240" w:lineRule="auto"/>
              <w:rPr>
                <w:rFonts w:eastAsia="Times New Roman" w:cs="Arial"/>
                <w:sz w:val="20"/>
                <w:szCs w:val="20"/>
                <w:lang w:eastAsia="sv-SE"/>
              </w:rPr>
            </w:pPr>
            <w:r w:rsidRPr="00EA6971">
              <w:rPr>
                <w:rFonts w:eastAsia="Times New Roman" w:cs="Arial"/>
                <w:sz w:val="20"/>
                <w:szCs w:val="20"/>
                <w:lang w:eastAsia="sv-SE"/>
              </w:rPr>
              <w:t>Väsentliga förändringar under redovisningsperioden beträffande storlek, struktur eller ägarform</w:t>
            </w:r>
          </w:p>
        </w:tc>
        <w:tc>
          <w:tcPr>
            <w:tcW w:w="1134" w:type="dxa"/>
            <w:tcBorders>
              <w:top w:val="nil"/>
              <w:left w:val="single" w:sz="4" w:space="0" w:color="auto"/>
              <w:bottom w:val="single" w:sz="4" w:space="0" w:color="auto"/>
              <w:right w:val="single" w:sz="4" w:space="0" w:color="auto"/>
            </w:tcBorders>
          </w:tcPr>
          <w:p w14:paraId="6EBCE96E" w14:textId="77777777" w:rsidR="00060570" w:rsidRPr="00EA6971" w:rsidRDefault="00060570" w:rsidP="00571E0F">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6054054A" w14:textId="77777777" w:rsidR="00060570" w:rsidRPr="00EA6971" w:rsidRDefault="00060570" w:rsidP="00571E0F">
            <w:pPr>
              <w:spacing w:after="0" w:line="240" w:lineRule="auto"/>
              <w:rPr>
                <w:rFonts w:eastAsia="Times New Roman" w:cs="Arial"/>
                <w:sz w:val="20"/>
                <w:szCs w:val="20"/>
                <w:lang w:eastAsia="sv-SE"/>
              </w:rPr>
            </w:pPr>
            <w:r w:rsidRPr="00EA6971">
              <w:rPr>
                <w:rFonts w:eastAsia="Times New Roman" w:cs="Arial"/>
                <w:sz w:val="20"/>
                <w:szCs w:val="20"/>
                <w:lang w:eastAsia="sv-SE"/>
              </w:rPr>
              <w:t>ÅR, GRI (Stycke 1.1)</w:t>
            </w:r>
          </w:p>
        </w:tc>
        <w:tc>
          <w:tcPr>
            <w:tcW w:w="993" w:type="dxa"/>
            <w:tcBorders>
              <w:top w:val="nil"/>
              <w:left w:val="single" w:sz="4" w:space="0" w:color="auto"/>
              <w:bottom w:val="single" w:sz="4" w:space="0" w:color="auto"/>
              <w:right w:val="single" w:sz="4" w:space="0" w:color="auto"/>
            </w:tcBorders>
            <w:shd w:val="clear" w:color="auto" w:fill="auto"/>
          </w:tcPr>
          <w:p w14:paraId="125BCA1E" w14:textId="77777777" w:rsidR="00060570" w:rsidRPr="00EA6971" w:rsidRDefault="00060570" w:rsidP="00571E0F">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009ACFF9" w14:textId="77777777" w:rsidTr="0092405B">
        <w:trPr>
          <w:trHeight w:val="293"/>
        </w:trPr>
        <w:tc>
          <w:tcPr>
            <w:tcW w:w="852" w:type="dxa"/>
            <w:tcBorders>
              <w:top w:val="nil"/>
              <w:left w:val="single" w:sz="4" w:space="0" w:color="auto"/>
              <w:bottom w:val="single" w:sz="4" w:space="0" w:color="auto"/>
              <w:right w:val="single" w:sz="4" w:space="0" w:color="auto"/>
            </w:tcBorders>
            <w:shd w:val="clear" w:color="000000" w:fill="FCF305"/>
          </w:tcPr>
          <w:p w14:paraId="62BA8FE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G4-17</w:t>
            </w:r>
          </w:p>
        </w:tc>
        <w:tc>
          <w:tcPr>
            <w:tcW w:w="4677" w:type="dxa"/>
            <w:tcBorders>
              <w:top w:val="nil"/>
              <w:left w:val="single" w:sz="4" w:space="0" w:color="auto"/>
              <w:bottom w:val="single" w:sz="4" w:space="0" w:color="auto"/>
              <w:right w:val="single" w:sz="4" w:space="0" w:color="auto"/>
            </w:tcBorders>
            <w:shd w:val="clear" w:color="auto" w:fill="auto"/>
          </w:tcPr>
          <w:p w14:paraId="2A2EA2ED"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Organisationsstruktur, enheter, divisioner, dotterbolag och joint ventures</w:t>
            </w:r>
          </w:p>
        </w:tc>
        <w:tc>
          <w:tcPr>
            <w:tcW w:w="1134" w:type="dxa"/>
            <w:tcBorders>
              <w:top w:val="nil"/>
              <w:left w:val="single" w:sz="4" w:space="0" w:color="auto"/>
              <w:bottom w:val="single" w:sz="4" w:space="0" w:color="auto"/>
              <w:right w:val="single" w:sz="4" w:space="0" w:color="auto"/>
            </w:tcBorders>
          </w:tcPr>
          <w:p w14:paraId="5A2D1F0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100D6EC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ÅR, GRI (Stycke 1.1)</w:t>
            </w:r>
          </w:p>
        </w:tc>
        <w:tc>
          <w:tcPr>
            <w:tcW w:w="993" w:type="dxa"/>
            <w:tcBorders>
              <w:top w:val="nil"/>
              <w:left w:val="single" w:sz="4" w:space="0" w:color="auto"/>
              <w:bottom w:val="single" w:sz="4" w:space="0" w:color="auto"/>
              <w:right w:val="single" w:sz="4" w:space="0" w:color="auto"/>
            </w:tcBorders>
            <w:shd w:val="clear" w:color="auto" w:fill="auto"/>
          </w:tcPr>
          <w:p w14:paraId="6E60549C"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5247E60D" w14:textId="77777777" w:rsidTr="0092405B">
        <w:trPr>
          <w:trHeight w:val="293"/>
        </w:trPr>
        <w:tc>
          <w:tcPr>
            <w:tcW w:w="852" w:type="dxa"/>
            <w:tcBorders>
              <w:top w:val="nil"/>
              <w:left w:val="single" w:sz="4" w:space="0" w:color="auto"/>
              <w:bottom w:val="single" w:sz="4" w:space="0" w:color="auto"/>
              <w:right w:val="single" w:sz="4" w:space="0" w:color="auto"/>
            </w:tcBorders>
            <w:shd w:val="clear" w:color="auto" w:fill="BFBFBF" w:themeFill="background1" w:themeFillShade="BF"/>
          </w:tcPr>
          <w:p w14:paraId="4E293B21"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nil"/>
              <w:left w:val="single" w:sz="4" w:space="0" w:color="auto"/>
              <w:bottom w:val="single" w:sz="4" w:space="0" w:color="auto"/>
              <w:right w:val="single" w:sz="4" w:space="0" w:color="auto"/>
            </w:tcBorders>
            <w:shd w:val="clear" w:color="auto" w:fill="BFBFBF" w:themeFill="background1" w:themeFillShade="BF"/>
          </w:tcPr>
          <w:p w14:paraId="1ECE3942" w14:textId="77777777" w:rsidR="00060570" w:rsidRPr="00EE4B96"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Rapporteringsprofil</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687756DD"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454C5DD6"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1DB8B6C2"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72178F65" w14:textId="77777777" w:rsidTr="0092405B">
        <w:trPr>
          <w:trHeight w:val="483"/>
        </w:trPr>
        <w:tc>
          <w:tcPr>
            <w:tcW w:w="852" w:type="dxa"/>
            <w:tcBorders>
              <w:top w:val="nil"/>
              <w:left w:val="single" w:sz="4" w:space="0" w:color="000000"/>
              <w:bottom w:val="single" w:sz="4" w:space="0" w:color="000000"/>
              <w:right w:val="single" w:sz="4" w:space="0" w:color="auto"/>
            </w:tcBorders>
            <w:shd w:val="clear" w:color="000000" w:fill="FCF305"/>
            <w:hideMark/>
          </w:tcPr>
          <w:p w14:paraId="2B5155B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G4-28</w:t>
            </w:r>
          </w:p>
        </w:tc>
        <w:tc>
          <w:tcPr>
            <w:tcW w:w="4677" w:type="dxa"/>
            <w:tcBorders>
              <w:top w:val="nil"/>
              <w:left w:val="single" w:sz="4" w:space="0" w:color="auto"/>
              <w:bottom w:val="single" w:sz="4" w:space="0" w:color="000000"/>
              <w:right w:val="single" w:sz="4" w:space="0" w:color="auto"/>
            </w:tcBorders>
            <w:shd w:val="clear" w:color="auto" w:fill="auto"/>
            <w:hideMark/>
          </w:tcPr>
          <w:p w14:paraId="6A514063"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Redovisningsperiod (till exempel räkenskapsår/kalenderår) för den redovisade informationen</w:t>
            </w:r>
          </w:p>
        </w:tc>
        <w:tc>
          <w:tcPr>
            <w:tcW w:w="1134" w:type="dxa"/>
            <w:tcBorders>
              <w:top w:val="nil"/>
              <w:left w:val="single" w:sz="4" w:space="0" w:color="auto"/>
              <w:bottom w:val="single" w:sz="4" w:space="0" w:color="auto"/>
              <w:right w:val="single" w:sz="4" w:space="0" w:color="auto"/>
            </w:tcBorders>
          </w:tcPr>
          <w:p w14:paraId="4A20150B"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4BD4233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framsida</w:t>
            </w:r>
          </w:p>
        </w:tc>
        <w:tc>
          <w:tcPr>
            <w:tcW w:w="993" w:type="dxa"/>
            <w:tcBorders>
              <w:top w:val="nil"/>
              <w:left w:val="single" w:sz="4" w:space="0" w:color="auto"/>
              <w:bottom w:val="single" w:sz="4" w:space="0" w:color="auto"/>
              <w:right w:val="single" w:sz="4" w:space="0" w:color="auto"/>
            </w:tcBorders>
            <w:shd w:val="clear" w:color="auto" w:fill="auto"/>
            <w:hideMark/>
          </w:tcPr>
          <w:p w14:paraId="24587F47"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 </w:t>
            </w:r>
          </w:p>
        </w:tc>
      </w:tr>
      <w:tr w:rsidR="00060570" w:rsidRPr="00EA6971" w14:paraId="7A2AB48A" w14:textId="77777777" w:rsidTr="0092405B">
        <w:trPr>
          <w:trHeight w:val="313"/>
        </w:trPr>
        <w:tc>
          <w:tcPr>
            <w:tcW w:w="852" w:type="dxa"/>
            <w:tcBorders>
              <w:top w:val="nil"/>
              <w:left w:val="single" w:sz="4" w:space="0" w:color="000000"/>
              <w:bottom w:val="single" w:sz="4" w:space="0" w:color="000000"/>
              <w:right w:val="single" w:sz="4" w:space="0" w:color="auto"/>
            </w:tcBorders>
            <w:shd w:val="clear" w:color="000000" w:fill="FCF305"/>
            <w:hideMark/>
          </w:tcPr>
          <w:p w14:paraId="0CE51646"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G4-29</w:t>
            </w:r>
          </w:p>
        </w:tc>
        <w:tc>
          <w:tcPr>
            <w:tcW w:w="4677" w:type="dxa"/>
            <w:tcBorders>
              <w:top w:val="nil"/>
              <w:left w:val="single" w:sz="4" w:space="0" w:color="auto"/>
              <w:bottom w:val="single" w:sz="4" w:space="0" w:color="000000"/>
              <w:right w:val="single" w:sz="4" w:space="0" w:color="auto"/>
            </w:tcBorders>
            <w:shd w:val="clear" w:color="auto" w:fill="auto"/>
            <w:hideMark/>
          </w:tcPr>
          <w:p w14:paraId="4B942337"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Datum för publiceringen av den senaste redovisningen</w:t>
            </w:r>
          </w:p>
        </w:tc>
        <w:tc>
          <w:tcPr>
            <w:tcW w:w="1134" w:type="dxa"/>
            <w:tcBorders>
              <w:top w:val="nil"/>
              <w:left w:val="single" w:sz="4" w:space="0" w:color="auto"/>
              <w:bottom w:val="single" w:sz="4" w:space="0" w:color="auto"/>
              <w:right w:val="single" w:sz="4" w:space="0" w:color="auto"/>
            </w:tcBorders>
          </w:tcPr>
          <w:p w14:paraId="0D17E022"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67FE2216"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korsreferenstabell</w:t>
            </w:r>
          </w:p>
        </w:tc>
        <w:tc>
          <w:tcPr>
            <w:tcW w:w="993" w:type="dxa"/>
            <w:tcBorders>
              <w:top w:val="nil"/>
              <w:left w:val="single" w:sz="4" w:space="0" w:color="auto"/>
              <w:bottom w:val="single" w:sz="4" w:space="0" w:color="auto"/>
              <w:right w:val="single" w:sz="4" w:space="0" w:color="auto"/>
            </w:tcBorders>
            <w:shd w:val="clear" w:color="auto" w:fill="auto"/>
            <w:hideMark/>
          </w:tcPr>
          <w:p w14:paraId="1B6E8681"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 </w:t>
            </w:r>
          </w:p>
        </w:tc>
      </w:tr>
      <w:tr w:rsidR="00060570" w:rsidRPr="00EA6971" w14:paraId="60A831C5" w14:textId="77777777" w:rsidTr="0092405B">
        <w:trPr>
          <w:trHeight w:val="322"/>
        </w:trPr>
        <w:tc>
          <w:tcPr>
            <w:tcW w:w="852" w:type="dxa"/>
            <w:tcBorders>
              <w:top w:val="nil"/>
              <w:left w:val="single" w:sz="4" w:space="0" w:color="000000"/>
              <w:bottom w:val="single" w:sz="4" w:space="0" w:color="000000"/>
              <w:right w:val="single" w:sz="4" w:space="0" w:color="auto"/>
            </w:tcBorders>
            <w:shd w:val="clear" w:color="000000" w:fill="FCF305"/>
            <w:hideMark/>
          </w:tcPr>
          <w:p w14:paraId="535CFC6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G4-30</w:t>
            </w:r>
          </w:p>
        </w:tc>
        <w:tc>
          <w:tcPr>
            <w:tcW w:w="4677" w:type="dxa"/>
            <w:tcBorders>
              <w:top w:val="nil"/>
              <w:left w:val="single" w:sz="4" w:space="0" w:color="auto"/>
              <w:bottom w:val="single" w:sz="4" w:space="0" w:color="000000"/>
              <w:right w:val="single" w:sz="4" w:space="0" w:color="auto"/>
            </w:tcBorders>
            <w:shd w:val="clear" w:color="auto" w:fill="auto"/>
            <w:hideMark/>
          </w:tcPr>
          <w:p w14:paraId="314B04F5"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Redovisningscykel (ettårig/tvåårig etcetera)</w:t>
            </w:r>
          </w:p>
        </w:tc>
        <w:tc>
          <w:tcPr>
            <w:tcW w:w="1134" w:type="dxa"/>
            <w:tcBorders>
              <w:top w:val="nil"/>
              <w:left w:val="single" w:sz="4" w:space="0" w:color="auto"/>
              <w:bottom w:val="single" w:sz="4" w:space="0" w:color="auto"/>
              <w:right w:val="single" w:sz="4" w:space="0" w:color="auto"/>
            </w:tcBorders>
          </w:tcPr>
          <w:p w14:paraId="2609FE2D"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6868CFA6"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Står på framsida</w:t>
            </w:r>
          </w:p>
        </w:tc>
        <w:tc>
          <w:tcPr>
            <w:tcW w:w="993" w:type="dxa"/>
            <w:tcBorders>
              <w:top w:val="nil"/>
              <w:left w:val="single" w:sz="4" w:space="0" w:color="auto"/>
              <w:bottom w:val="single" w:sz="4" w:space="0" w:color="auto"/>
              <w:right w:val="single" w:sz="4" w:space="0" w:color="auto"/>
            </w:tcBorders>
            <w:shd w:val="clear" w:color="auto" w:fill="auto"/>
            <w:hideMark/>
          </w:tcPr>
          <w:p w14:paraId="17F30234"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 </w:t>
            </w:r>
          </w:p>
        </w:tc>
      </w:tr>
      <w:tr w:rsidR="00060570" w:rsidRPr="00EA6971" w14:paraId="2BC0DBFC" w14:textId="77777777" w:rsidTr="0092405B">
        <w:trPr>
          <w:trHeight w:val="322"/>
        </w:trPr>
        <w:tc>
          <w:tcPr>
            <w:tcW w:w="852" w:type="dxa"/>
            <w:tcBorders>
              <w:top w:val="nil"/>
              <w:left w:val="single" w:sz="4" w:space="0" w:color="000000"/>
              <w:bottom w:val="single" w:sz="4" w:space="0" w:color="000000"/>
              <w:right w:val="single" w:sz="4" w:space="0" w:color="auto"/>
            </w:tcBorders>
            <w:shd w:val="clear" w:color="000000" w:fill="FCF305"/>
            <w:hideMark/>
          </w:tcPr>
          <w:p w14:paraId="2F8A4B34"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G4-31</w:t>
            </w:r>
          </w:p>
        </w:tc>
        <w:tc>
          <w:tcPr>
            <w:tcW w:w="4677" w:type="dxa"/>
            <w:tcBorders>
              <w:top w:val="nil"/>
              <w:left w:val="single" w:sz="4" w:space="0" w:color="auto"/>
              <w:bottom w:val="single" w:sz="4" w:space="0" w:color="000000"/>
              <w:right w:val="single" w:sz="4" w:space="0" w:color="auto"/>
            </w:tcBorders>
            <w:shd w:val="clear" w:color="auto" w:fill="auto"/>
            <w:hideMark/>
          </w:tcPr>
          <w:p w14:paraId="6773CE4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Kontaktperson för frågor angående redovisningen och dess innehåll</w:t>
            </w:r>
          </w:p>
        </w:tc>
        <w:tc>
          <w:tcPr>
            <w:tcW w:w="1134" w:type="dxa"/>
            <w:tcBorders>
              <w:top w:val="nil"/>
              <w:left w:val="single" w:sz="4" w:space="0" w:color="auto"/>
              <w:bottom w:val="single" w:sz="4" w:space="0" w:color="auto"/>
              <w:right w:val="single" w:sz="4" w:space="0" w:color="auto"/>
            </w:tcBorders>
          </w:tcPr>
          <w:p w14:paraId="60BE3397"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7BCE1CF7"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Susanne Bergman </w:t>
            </w:r>
            <w:r w:rsidRPr="00EA6971">
              <w:rPr>
                <w:rFonts w:eastAsia="Times New Roman" w:cs="Arial"/>
                <w:sz w:val="20"/>
                <w:szCs w:val="20"/>
                <w:lang w:eastAsia="sv-SE"/>
              </w:rPr>
              <w:br/>
              <w:t>Hållbarhetschef</w:t>
            </w:r>
          </w:p>
        </w:tc>
        <w:tc>
          <w:tcPr>
            <w:tcW w:w="993" w:type="dxa"/>
            <w:tcBorders>
              <w:top w:val="nil"/>
              <w:left w:val="single" w:sz="4" w:space="0" w:color="auto"/>
              <w:bottom w:val="single" w:sz="4" w:space="0" w:color="auto"/>
              <w:right w:val="single" w:sz="4" w:space="0" w:color="auto"/>
            </w:tcBorders>
            <w:shd w:val="clear" w:color="auto" w:fill="auto"/>
            <w:hideMark/>
          </w:tcPr>
          <w:p w14:paraId="2D3A2C43"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 </w:t>
            </w:r>
          </w:p>
        </w:tc>
      </w:tr>
      <w:tr w:rsidR="00060570" w:rsidRPr="00EA6971" w14:paraId="5B2A443D" w14:textId="77777777" w:rsidTr="0092405B">
        <w:trPr>
          <w:trHeight w:val="322"/>
        </w:trPr>
        <w:tc>
          <w:tcPr>
            <w:tcW w:w="852" w:type="dxa"/>
            <w:tcBorders>
              <w:top w:val="single" w:sz="4" w:space="0" w:color="auto"/>
              <w:left w:val="single" w:sz="4" w:space="0" w:color="000000"/>
              <w:bottom w:val="single" w:sz="4" w:space="0" w:color="000000"/>
              <w:right w:val="single" w:sz="4" w:space="0" w:color="auto"/>
            </w:tcBorders>
            <w:shd w:val="clear" w:color="auto" w:fill="BFBFBF" w:themeFill="background1" w:themeFillShade="BF"/>
          </w:tcPr>
          <w:p w14:paraId="20C41DA1"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1EB15D1E"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Identifierade materialaspekter och gränser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4E0126"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EB996"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72A4D5"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5A2563AB" w14:textId="77777777" w:rsidTr="0092405B">
        <w:trPr>
          <w:trHeight w:val="998"/>
        </w:trPr>
        <w:tc>
          <w:tcPr>
            <w:tcW w:w="852" w:type="dxa"/>
            <w:tcBorders>
              <w:top w:val="nil"/>
              <w:left w:val="single" w:sz="4" w:space="0" w:color="000000"/>
              <w:bottom w:val="single" w:sz="4" w:space="0" w:color="auto"/>
              <w:right w:val="single" w:sz="4" w:space="0" w:color="auto"/>
            </w:tcBorders>
            <w:shd w:val="clear" w:color="000000" w:fill="FCF305"/>
            <w:hideMark/>
          </w:tcPr>
          <w:p w14:paraId="7F88AF39"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G-18</w:t>
            </w:r>
          </w:p>
        </w:tc>
        <w:tc>
          <w:tcPr>
            <w:tcW w:w="4677" w:type="dxa"/>
            <w:tcBorders>
              <w:top w:val="nil"/>
              <w:left w:val="single" w:sz="4" w:space="0" w:color="auto"/>
              <w:bottom w:val="single" w:sz="4" w:space="0" w:color="auto"/>
              <w:right w:val="single" w:sz="4" w:space="0" w:color="auto"/>
            </w:tcBorders>
            <w:shd w:val="clear" w:color="auto" w:fill="auto"/>
            <w:hideMark/>
          </w:tcPr>
          <w:p w14:paraId="39B72075"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Processer för definition av innehållet, inklusive definition av väsentlighet, prioritering av områden i redovisningen, och identifiering av de intressenter som organisationen förväntar sig kommer att använda redovisningen</w:t>
            </w:r>
          </w:p>
        </w:tc>
        <w:tc>
          <w:tcPr>
            <w:tcW w:w="1134" w:type="dxa"/>
            <w:tcBorders>
              <w:top w:val="nil"/>
              <w:left w:val="single" w:sz="4" w:space="0" w:color="auto"/>
              <w:bottom w:val="single" w:sz="4" w:space="0" w:color="auto"/>
              <w:right w:val="single" w:sz="4" w:space="0" w:color="auto"/>
            </w:tcBorders>
          </w:tcPr>
          <w:p w14:paraId="416500F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5AE3FDF8" w14:textId="77777777" w:rsidR="00060570" w:rsidRPr="00EA6971" w:rsidRDefault="00060570" w:rsidP="00060570">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1.1, 1.5, 1.6.3, 2.5, 2.5.1)</w:t>
            </w:r>
            <w:r w:rsidRPr="00EA6971">
              <w:rPr>
                <w:rFonts w:eastAsia="Times New Roman" w:cs="Arial"/>
                <w:color w:val="DD0806"/>
                <w:sz w:val="20"/>
                <w:szCs w:val="20"/>
                <w:lang w:eastAsia="sv-SE"/>
              </w:rPr>
              <w:t xml:space="preserve"> </w:t>
            </w:r>
          </w:p>
        </w:tc>
        <w:tc>
          <w:tcPr>
            <w:tcW w:w="993" w:type="dxa"/>
            <w:tcBorders>
              <w:top w:val="nil"/>
              <w:left w:val="single" w:sz="4" w:space="0" w:color="auto"/>
              <w:bottom w:val="single" w:sz="4" w:space="0" w:color="auto"/>
              <w:right w:val="single" w:sz="4" w:space="0" w:color="auto"/>
            </w:tcBorders>
            <w:shd w:val="clear" w:color="auto" w:fill="auto"/>
            <w:hideMark/>
          </w:tcPr>
          <w:p w14:paraId="7792E9EF"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 </w:t>
            </w:r>
          </w:p>
        </w:tc>
      </w:tr>
      <w:tr w:rsidR="00060570" w:rsidRPr="00EA6971" w14:paraId="033B48CB" w14:textId="77777777" w:rsidTr="0092405B">
        <w:trPr>
          <w:trHeight w:val="1109"/>
        </w:trPr>
        <w:tc>
          <w:tcPr>
            <w:tcW w:w="852" w:type="dxa"/>
            <w:tcBorders>
              <w:top w:val="nil"/>
              <w:left w:val="single" w:sz="4" w:space="0" w:color="000000"/>
              <w:bottom w:val="single" w:sz="4" w:space="0" w:color="auto"/>
              <w:right w:val="single" w:sz="4" w:space="0" w:color="auto"/>
            </w:tcBorders>
            <w:shd w:val="clear" w:color="000000" w:fill="FCF305"/>
          </w:tcPr>
          <w:p w14:paraId="676D7C0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G4-19</w:t>
            </w:r>
          </w:p>
        </w:tc>
        <w:tc>
          <w:tcPr>
            <w:tcW w:w="4677" w:type="dxa"/>
            <w:tcBorders>
              <w:top w:val="nil"/>
              <w:left w:val="single" w:sz="4" w:space="0" w:color="auto"/>
              <w:bottom w:val="single" w:sz="4" w:space="0" w:color="auto"/>
              <w:right w:val="single" w:sz="4" w:space="0" w:color="auto"/>
            </w:tcBorders>
            <w:shd w:val="clear" w:color="auto" w:fill="auto"/>
          </w:tcPr>
          <w:p w14:paraId="6E3CCBE5" w14:textId="77777777" w:rsidR="00060570" w:rsidRPr="00EA6971" w:rsidRDefault="00060570" w:rsidP="00D67CA0">
            <w:pPr>
              <w:spacing w:after="0" w:line="240" w:lineRule="auto"/>
              <w:rPr>
                <w:rFonts w:eastAsia="Times New Roman" w:cs="Arial"/>
                <w:sz w:val="20"/>
                <w:szCs w:val="20"/>
                <w:lang w:eastAsia="sv-SE"/>
              </w:rPr>
            </w:pPr>
            <w:r w:rsidRPr="00EA6971">
              <w:rPr>
                <w:rFonts w:eastAsia="Times New Roman" w:cs="Arial"/>
                <w:sz w:val="20"/>
                <w:szCs w:val="20"/>
                <w:lang w:eastAsia="sv-SE"/>
              </w:rPr>
              <w:t>Lista alla materiella aspekter identifierade i processen att definiera rapport innehållet.</w:t>
            </w:r>
          </w:p>
        </w:tc>
        <w:tc>
          <w:tcPr>
            <w:tcW w:w="1134" w:type="dxa"/>
            <w:tcBorders>
              <w:top w:val="nil"/>
              <w:left w:val="single" w:sz="4" w:space="0" w:color="auto"/>
              <w:bottom w:val="single" w:sz="4" w:space="0" w:color="auto"/>
              <w:right w:val="single" w:sz="4" w:space="0" w:color="auto"/>
            </w:tcBorders>
          </w:tcPr>
          <w:p w14:paraId="2D6713D8"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6670FE7D" w14:textId="77777777" w:rsidR="00060570" w:rsidRPr="00EA6971" w:rsidRDefault="00060570" w:rsidP="00060570">
            <w:pPr>
              <w:spacing w:after="0" w:line="240" w:lineRule="auto"/>
              <w:rPr>
                <w:rFonts w:eastAsia="Times New Roman" w:cs="Arial"/>
                <w:sz w:val="20"/>
                <w:szCs w:val="20"/>
                <w:lang w:eastAsia="sv-SE"/>
              </w:rPr>
            </w:pPr>
            <w:r w:rsidRPr="00EA6971">
              <w:rPr>
                <w:rFonts w:eastAsia="Times New Roman" w:cs="Arial"/>
                <w:sz w:val="20"/>
                <w:szCs w:val="20"/>
                <w:lang w:eastAsia="sv-SE"/>
              </w:rPr>
              <w:t>GRI-rapport, kap 2</w:t>
            </w:r>
          </w:p>
        </w:tc>
        <w:tc>
          <w:tcPr>
            <w:tcW w:w="993" w:type="dxa"/>
            <w:tcBorders>
              <w:top w:val="nil"/>
              <w:left w:val="single" w:sz="4" w:space="0" w:color="auto"/>
              <w:bottom w:val="single" w:sz="4" w:space="0" w:color="auto"/>
              <w:right w:val="single" w:sz="4" w:space="0" w:color="auto"/>
            </w:tcBorders>
            <w:shd w:val="clear" w:color="auto" w:fill="auto"/>
          </w:tcPr>
          <w:p w14:paraId="17DFE405"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591C0AD4" w14:textId="77777777" w:rsidTr="0092405B">
        <w:trPr>
          <w:trHeight w:val="2538"/>
        </w:trPr>
        <w:tc>
          <w:tcPr>
            <w:tcW w:w="852" w:type="dxa"/>
            <w:tcBorders>
              <w:top w:val="single" w:sz="4" w:space="0" w:color="auto"/>
              <w:left w:val="single" w:sz="4" w:space="0" w:color="000000"/>
              <w:bottom w:val="single" w:sz="4" w:space="0" w:color="auto"/>
              <w:right w:val="single" w:sz="4" w:space="0" w:color="auto"/>
            </w:tcBorders>
            <w:shd w:val="clear" w:color="000000" w:fill="FCF305"/>
            <w:hideMark/>
          </w:tcPr>
          <w:p w14:paraId="14645756" w14:textId="77777777" w:rsidR="00060570" w:rsidRPr="00EA6971" w:rsidRDefault="0092405B"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w:t>
            </w:r>
            <w:r w:rsidR="00060570" w:rsidRPr="00EA6971">
              <w:rPr>
                <w:rFonts w:eastAsia="Times New Roman" w:cs="Arial"/>
                <w:sz w:val="20"/>
                <w:szCs w:val="20"/>
                <w:lang w:eastAsia="sv-SE"/>
              </w:rPr>
              <w:t>4-20</w:t>
            </w:r>
          </w:p>
          <w:p w14:paraId="68772B93"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G4-21</w:t>
            </w:r>
          </w:p>
          <w:p w14:paraId="3ECF9320"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3C4BFB9B" w14:textId="6BC59D32"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Redov</w:t>
            </w:r>
            <w:r w:rsidR="002F32FD">
              <w:rPr>
                <w:rFonts w:eastAsia="Times New Roman" w:cs="Arial"/>
                <w:sz w:val="20"/>
                <w:szCs w:val="20"/>
                <w:lang w:eastAsia="sv-SE"/>
              </w:rPr>
              <w:t>isningens avgränsning (till exem</w:t>
            </w:r>
            <w:r w:rsidRPr="00EA6971">
              <w:rPr>
                <w:rFonts w:eastAsia="Times New Roman" w:cs="Arial"/>
                <w:sz w:val="20"/>
                <w:szCs w:val="20"/>
                <w:lang w:eastAsia="sv-SE"/>
              </w:rPr>
              <w:t>pel utifrån land, avdelning, dotterbolag, hyrda anläggningar, joint ventures, leverantörer). Se GRI:s Avgränsningsprotokoll för ytterligare vägledning. Beskriv eventuella begränsningar för redovisningens omfattning och avgränsning</w:t>
            </w:r>
          </w:p>
          <w:p w14:paraId="4A00400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Utgångspunkt för redovisning om joint ventures, dotterbolag, hyrda anläggningar, utlokaliserade verksamheter och andra enheter som väsentligt kan påverka jämförbarheten mellan olika tidsperioder och/eller organisationer.</w:t>
            </w:r>
          </w:p>
        </w:tc>
        <w:tc>
          <w:tcPr>
            <w:tcW w:w="1134" w:type="dxa"/>
            <w:tcBorders>
              <w:top w:val="single" w:sz="4" w:space="0" w:color="auto"/>
              <w:left w:val="single" w:sz="4" w:space="0" w:color="auto"/>
              <w:bottom w:val="single" w:sz="4" w:space="0" w:color="auto"/>
              <w:right w:val="single" w:sz="4" w:space="0" w:color="auto"/>
            </w:tcBorders>
          </w:tcPr>
          <w:p w14:paraId="06A41FE9"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68F44D"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 rapport </w:t>
            </w:r>
            <w:r w:rsidRPr="00EA6971">
              <w:rPr>
                <w:rFonts w:eastAsia="Times New Roman" w:cs="Arial"/>
                <w:sz w:val="20"/>
                <w:szCs w:val="20"/>
                <w:lang w:eastAsia="sv-SE"/>
              </w:rPr>
              <w:br/>
              <w:t xml:space="preserve">(stycke 1 och 1.1) </w:t>
            </w:r>
          </w:p>
          <w:p w14:paraId="127112D4"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(Kapitel 1)</w:t>
            </w:r>
          </w:p>
          <w:p w14:paraId="16EC153A"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F70D1C"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 </w:t>
            </w:r>
          </w:p>
          <w:p w14:paraId="15BEF079"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087ACB36" w14:textId="77777777" w:rsidTr="0092405B">
        <w:trPr>
          <w:trHeight w:val="1145"/>
        </w:trPr>
        <w:tc>
          <w:tcPr>
            <w:tcW w:w="852" w:type="dxa"/>
            <w:tcBorders>
              <w:top w:val="single" w:sz="4" w:space="0" w:color="auto"/>
              <w:left w:val="single" w:sz="4" w:space="0" w:color="000000"/>
              <w:bottom w:val="single" w:sz="4" w:space="0" w:color="000000"/>
              <w:right w:val="single" w:sz="4" w:space="0" w:color="auto"/>
            </w:tcBorders>
            <w:shd w:val="clear" w:color="000000" w:fill="FCF305"/>
            <w:hideMark/>
          </w:tcPr>
          <w:p w14:paraId="23D83BB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G4-22</w:t>
            </w:r>
          </w:p>
        </w:tc>
        <w:tc>
          <w:tcPr>
            <w:tcW w:w="4677" w:type="dxa"/>
            <w:tcBorders>
              <w:top w:val="single" w:sz="4" w:space="0" w:color="auto"/>
              <w:left w:val="single" w:sz="4" w:space="0" w:color="auto"/>
              <w:bottom w:val="single" w:sz="4" w:space="0" w:color="000000"/>
              <w:right w:val="single" w:sz="4" w:space="0" w:color="auto"/>
            </w:tcBorders>
            <w:shd w:val="clear" w:color="auto" w:fill="auto"/>
            <w:hideMark/>
          </w:tcPr>
          <w:p w14:paraId="39768C28"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Förklaring av effekten av omformulering av information som lämnats i tidigare redovisningar, samt anledningar för en sådan upprepning (till exempel sammanslagningar/förvärv, förändringar av basår/period, företagets inriktning och mätmetoder)</w:t>
            </w:r>
          </w:p>
        </w:tc>
        <w:tc>
          <w:tcPr>
            <w:tcW w:w="1134" w:type="dxa"/>
            <w:tcBorders>
              <w:top w:val="single" w:sz="4" w:space="0" w:color="auto"/>
              <w:left w:val="single" w:sz="4" w:space="0" w:color="auto"/>
              <w:bottom w:val="single" w:sz="4" w:space="0" w:color="auto"/>
              <w:right w:val="single" w:sz="4" w:space="0" w:color="auto"/>
            </w:tcBorders>
          </w:tcPr>
          <w:p w14:paraId="13EB9D5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100F9E3"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(Rapport del kap 3)</w:t>
            </w:r>
            <w:r w:rsidRPr="00EA6971">
              <w:rPr>
                <w:rFonts w:eastAsia="Times New Roman" w:cs="Arial"/>
                <w:sz w:val="20"/>
                <w:szCs w:val="20"/>
                <w:lang w:eastAsia="sv-SE"/>
              </w:rPr>
              <w:br/>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D7F5208"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 </w:t>
            </w:r>
          </w:p>
        </w:tc>
      </w:tr>
      <w:tr w:rsidR="00060570" w:rsidRPr="00EA6971" w14:paraId="090F78FC" w14:textId="77777777" w:rsidTr="0092405B">
        <w:trPr>
          <w:trHeight w:val="671"/>
        </w:trPr>
        <w:tc>
          <w:tcPr>
            <w:tcW w:w="852" w:type="dxa"/>
            <w:tcBorders>
              <w:top w:val="nil"/>
              <w:left w:val="single" w:sz="4" w:space="0" w:color="000000"/>
              <w:bottom w:val="single" w:sz="4" w:space="0" w:color="000000"/>
              <w:right w:val="single" w:sz="4" w:space="0" w:color="auto"/>
            </w:tcBorders>
            <w:shd w:val="clear" w:color="000000" w:fill="FCF305"/>
            <w:hideMark/>
          </w:tcPr>
          <w:p w14:paraId="69D282F9"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G4-23</w:t>
            </w:r>
          </w:p>
        </w:tc>
        <w:tc>
          <w:tcPr>
            <w:tcW w:w="4677" w:type="dxa"/>
            <w:tcBorders>
              <w:top w:val="nil"/>
              <w:left w:val="single" w:sz="4" w:space="0" w:color="auto"/>
              <w:bottom w:val="single" w:sz="4" w:space="0" w:color="000000"/>
              <w:right w:val="single" w:sz="4" w:space="0" w:color="auto"/>
            </w:tcBorders>
            <w:shd w:val="clear" w:color="auto" w:fill="auto"/>
            <w:hideMark/>
          </w:tcPr>
          <w:p w14:paraId="4BF778AD"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Väsentliga förändringar som ägt rum sedan den förra redovisningsperioden, vad gäller avgränsning, omfattning eller mätmetoder som använts i redovisningen</w:t>
            </w:r>
          </w:p>
        </w:tc>
        <w:tc>
          <w:tcPr>
            <w:tcW w:w="1134" w:type="dxa"/>
            <w:tcBorders>
              <w:top w:val="nil"/>
              <w:left w:val="single" w:sz="4" w:space="0" w:color="auto"/>
              <w:bottom w:val="single" w:sz="4" w:space="0" w:color="auto"/>
              <w:right w:val="single" w:sz="4" w:space="0" w:color="auto"/>
            </w:tcBorders>
          </w:tcPr>
          <w:p w14:paraId="6FDD661A"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1BA2EAC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Beräkningsmetoder och underlag, alternativt kapitel 1</w:t>
            </w:r>
          </w:p>
        </w:tc>
        <w:tc>
          <w:tcPr>
            <w:tcW w:w="993" w:type="dxa"/>
            <w:tcBorders>
              <w:top w:val="nil"/>
              <w:left w:val="single" w:sz="4" w:space="0" w:color="auto"/>
              <w:bottom w:val="single" w:sz="4" w:space="0" w:color="auto"/>
              <w:right w:val="single" w:sz="4" w:space="0" w:color="auto"/>
            </w:tcBorders>
            <w:shd w:val="clear" w:color="auto" w:fill="auto"/>
            <w:hideMark/>
          </w:tcPr>
          <w:p w14:paraId="5416C850"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7.5.3</w:t>
            </w:r>
          </w:p>
        </w:tc>
      </w:tr>
      <w:tr w:rsidR="00060570" w:rsidRPr="00EA6971" w14:paraId="2C0DD09B" w14:textId="77777777" w:rsidTr="0092405B">
        <w:trPr>
          <w:trHeight w:val="291"/>
        </w:trPr>
        <w:tc>
          <w:tcPr>
            <w:tcW w:w="852" w:type="dxa"/>
            <w:tcBorders>
              <w:top w:val="nil"/>
              <w:left w:val="single" w:sz="4" w:space="0" w:color="000000"/>
              <w:bottom w:val="single" w:sz="4" w:space="0" w:color="000000"/>
              <w:right w:val="single" w:sz="4" w:space="0" w:color="auto"/>
            </w:tcBorders>
            <w:shd w:val="clear" w:color="auto" w:fill="BFBFBF" w:themeFill="background1" w:themeFillShade="BF"/>
          </w:tcPr>
          <w:p w14:paraId="31A11FCF"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nil"/>
              <w:left w:val="single" w:sz="4" w:space="0" w:color="auto"/>
              <w:bottom w:val="single" w:sz="4" w:space="0" w:color="000000"/>
              <w:right w:val="single" w:sz="4" w:space="0" w:color="auto"/>
            </w:tcBorders>
            <w:shd w:val="clear" w:color="auto" w:fill="BFBFBF" w:themeFill="background1" w:themeFillShade="BF"/>
          </w:tcPr>
          <w:p w14:paraId="0D4E0DE3"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b/>
                <w:sz w:val="20"/>
                <w:szCs w:val="20"/>
                <w:lang w:eastAsia="sv-SE"/>
              </w:rPr>
              <w:t>GRI index innehåll</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06776E19"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2EC76423"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32596F41"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26FA384A" w14:textId="77777777" w:rsidTr="0092405B">
        <w:trPr>
          <w:trHeight w:val="340"/>
        </w:trPr>
        <w:tc>
          <w:tcPr>
            <w:tcW w:w="852" w:type="dxa"/>
            <w:tcBorders>
              <w:top w:val="nil"/>
              <w:left w:val="single" w:sz="4" w:space="0" w:color="000000"/>
              <w:bottom w:val="single" w:sz="4" w:space="0" w:color="000000"/>
              <w:right w:val="single" w:sz="4" w:space="0" w:color="auto"/>
            </w:tcBorders>
            <w:shd w:val="clear" w:color="000000" w:fill="FCF305"/>
            <w:hideMark/>
          </w:tcPr>
          <w:p w14:paraId="2908826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G4-32</w:t>
            </w:r>
          </w:p>
        </w:tc>
        <w:tc>
          <w:tcPr>
            <w:tcW w:w="4677" w:type="dxa"/>
            <w:tcBorders>
              <w:top w:val="nil"/>
              <w:left w:val="single" w:sz="4" w:space="0" w:color="auto"/>
              <w:bottom w:val="single" w:sz="4" w:space="0" w:color="000000"/>
              <w:right w:val="single" w:sz="4" w:space="0" w:color="auto"/>
            </w:tcBorders>
            <w:shd w:val="clear" w:color="auto" w:fill="auto"/>
            <w:hideMark/>
          </w:tcPr>
          <w:p w14:paraId="468091A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Tabell som identifierar var i redovisningen Standardupplysningarna finns</w:t>
            </w:r>
          </w:p>
        </w:tc>
        <w:tc>
          <w:tcPr>
            <w:tcW w:w="1134" w:type="dxa"/>
            <w:tcBorders>
              <w:top w:val="nil"/>
              <w:left w:val="single" w:sz="4" w:space="0" w:color="auto"/>
              <w:bottom w:val="single" w:sz="4" w:space="0" w:color="auto"/>
              <w:right w:val="single" w:sz="4" w:space="0" w:color="auto"/>
            </w:tcBorders>
          </w:tcPr>
          <w:p w14:paraId="4D6159E9"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2AC32519"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GRI-korsreferenstabell</w:t>
            </w:r>
          </w:p>
        </w:tc>
        <w:tc>
          <w:tcPr>
            <w:tcW w:w="993" w:type="dxa"/>
            <w:tcBorders>
              <w:top w:val="nil"/>
              <w:left w:val="single" w:sz="4" w:space="0" w:color="auto"/>
              <w:bottom w:val="single" w:sz="4" w:space="0" w:color="auto"/>
              <w:right w:val="single" w:sz="4" w:space="0" w:color="auto"/>
            </w:tcBorders>
            <w:shd w:val="clear" w:color="auto" w:fill="auto"/>
            <w:hideMark/>
          </w:tcPr>
          <w:p w14:paraId="1B7307AD"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 </w:t>
            </w:r>
          </w:p>
        </w:tc>
      </w:tr>
      <w:tr w:rsidR="00060570" w:rsidRPr="00EA6971" w14:paraId="10998E26" w14:textId="77777777" w:rsidTr="0092405B">
        <w:trPr>
          <w:trHeight w:val="340"/>
        </w:trPr>
        <w:tc>
          <w:tcPr>
            <w:tcW w:w="852" w:type="dxa"/>
            <w:tcBorders>
              <w:top w:val="nil"/>
              <w:left w:val="single" w:sz="4" w:space="0" w:color="000000"/>
              <w:bottom w:val="single" w:sz="4" w:space="0" w:color="000000"/>
              <w:right w:val="single" w:sz="4" w:space="0" w:color="auto"/>
            </w:tcBorders>
            <w:shd w:val="clear" w:color="auto" w:fill="BFBFBF" w:themeFill="background1" w:themeFillShade="BF"/>
          </w:tcPr>
          <w:p w14:paraId="684E2A73"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nil"/>
              <w:left w:val="single" w:sz="4" w:space="0" w:color="auto"/>
              <w:bottom w:val="single" w:sz="4" w:space="0" w:color="000000"/>
              <w:right w:val="single" w:sz="4" w:space="0" w:color="auto"/>
            </w:tcBorders>
            <w:shd w:val="clear" w:color="auto" w:fill="BFBFBF" w:themeFill="background1" w:themeFillShade="BF"/>
          </w:tcPr>
          <w:p w14:paraId="19BF6721"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Bestyrkande</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5EE41F4C"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70919D4B"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1D4C3BA9"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34FF3D45" w14:textId="77777777" w:rsidTr="0092405B">
        <w:trPr>
          <w:trHeight w:val="1610"/>
        </w:trPr>
        <w:tc>
          <w:tcPr>
            <w:tcW w:w="852" w:type="dxa"/>
            <w:tcBorders>
              <w:top w:val="single" w:sz="4" w:space="0" w:color="000000"/>
              <w:left w:val="single" w:sz="4" w:space="0" w:color="000000"/>
              <w:bottom w:val="single" w:sz="4" w:space="0" w:color="000000"/>
              <w:right w:val="single" w:sz="4" w:space="0" w:color="auto"/>
            </w:tcBorders>
            <w:shd w:val="clear" w:color="000000" w:fill="FCF305"/>
            <w:hideMark/>
          </w:tcPr>
          <w:p w14:paraId="6DEF13C8"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G4-33</w:t>
            </w:r>
          </w:p>
        </w:tc>
        <w:tc>
          <w:tcPr>
            <w:tcW w:w="4677" w:type="dxa"/>
            <w:tcBorders>
              <w:top w:val="single" w:sz="4" w:space="0" w:color="000000"/>
              <w:left w:val="single" w:sz="4" w:space="0" w:color="auto"/>
              <w:bottom w:val="single" w:sz="4" w:space="0" w:color="000000"/>
              <w:right w:val="single" w:sz="4" w:space="0" w:color="auto"/>
            </w:tcBorders>
            <w:shd w:val="clear" w:color="auto" w:fill="auto"/>
            <w:hideMark/>
          </w:tcPr>
          <w:p w14:paraId="07D6C08B"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Policy och nuvarande åtgärder med avseende på att genomföra externt bestyrkande av redovisningen. Täckningen och grunden för allt externt bestyrkande ska förklaras för de fall de inte inkluderats i bestyrkanderapporten som levereras med hållbarhetsredovisningen. Dessutom ska relationen mellan den redovisande organisationen och bestyrkanderevisorn förklaras.</w:t>
            </w:r>
          </w:p>
        </w:tc>
        <w:tc>
          <w:tcPr>
            <w:tcW w:w="1134" w:type="dxa"/>
            <w:tcBorders>
              <w:top w:val="nil"/>
              <w:left w:val="single" w:sz="4" w:space="0" w:color="auto"/>
              <w:bottom w:val="single" w:sz="4" w:space="0" w:color="auto"/>
              <w:right w:val="single" w:sz="4" w:space="0" w:color="auto"/>
            </w:tcBorders>
          </w:tcPr>
          <w:p w14:paraId="54A542BA"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62FDB62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1.1)</w:t>
            </w:r>
          </w:p>
        </w:tc>
        <w:tc>
          <w:tcPr>
            <w:tcW w:w="993" w:type="dxa"/>
            <w:tcBorders>
              <w:top w:val="nil"/>
              <w:left w:val="single" w:sz="4" w:space="0" w:color="auto"/>
              <w:bottom w:val="single" w:sz="4" w:space="0" w:color="auto"/>
              <w:right w:val="single" w:sz="4" w:space="0" w:color="auto"/>
            </w:tcBorders>
            <w:shd w:val="clear" w:color="auto" w:fill="auto"/>
            <w:hideMark/>
          </w:tcPr>
          <w:p w14:paraId="3A42F008"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 </w:t>
            </w:r>
          </w:p>
        </w:tc>
      </w:tr>
      <w:tr w:rsidR="00060570" w:rsidRPr="00EA6971" w14:paraId="492DD1DF" w14:textId="77777777" w:rsidTr="0092405B">
        <w:trPr>
          <w:trHeight w:val="294"/>
        </w:trPr>
        <w:tc>
          <w:tcPr>
            <w:tcW w:w="852"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3EDE5C27"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tcPr>
          <w:p w14:paraId="73822712"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Bolagsstyrning</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6321D4C0"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23EBA34B"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21E42A0C"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703D82DF" w14:textId="77777777" w:rsidTr="0092405B">
        <w:trPr>
          <w:trHeight w:val="832"/>
        </w:trPr>
        <w:tc>
          <w:tcPr>
            <w:tcW w:w="852" w:type="dxa"/>
            <w:tcBorders>
              <w:top w:val="single" w:sz="4" w:space="0" w:color="000000"/>
              <w:left w:val="single" w:sz="4" w:space="0" w:color="000000"/>
              <w:bottom w:val="single" w:sz="4" w:space="0" w:color="000000"/>
              <w:right w:val="single" w:sz="4" w:space="0" w:color="auto"/>
            </w:tcBorders>
            <w:shd w:val="clear" w:color="000000" w:fill="FCF305"/>
            <w:hideMark/>
          </w:tcPr>
          <w:p w14:paraId="7DD924B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G4-34</w:t>
            </w:r>
          </w:p>
          <w:p w14:paraId="0E63408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G4-38</w:t>
            </w:r>
          </w:p>
        </w:tc>
        <w:tc>
          <w:tcPr>
            <w:tcW w:w="4677" w:type="dxa"/>
            <w:tcBorders>
              <w:top w:val="single" w:sz="4" w:space="0" w:color="000000"/>
              <w:left w:val="single" w:sz="4" w:space="0" w:color="auto"/>
              <w:bottom w:val="single" w:sz="4" w:space="0" w:color="000000"/>
              <w:right w:val="single" w:sz="4" w:space="0" w:color="auto"/>
            </w:tcBorders>
            <w:shd w:val="clear" w:color="auto" w:fill="auto"/>
            <w:hideMark/>
          </w:tcPr>
          <w:p w14:paraId="10AE404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Organisationens bolagsstyrning, inklusive kommittéer som är underställda högsta ledningen, som är ansvariga för specifika uppgifter, såsom att ta fram strategi eller organisatorisk översikt</w:t>
            </w:r>
          </w:p>
        </w:tc>
        <w:tc>
          <w:tcPr>
            <w:tcW w:w="1134" w:type="dxa"/>
            <w:tcBorders>
              <w:top w:val="nil"/>
              <w:left w:val="single" w:sz="4" w:space="0" w:color="auto"/>
              <w:bottom w:val="single" w:sz="4" w:space="0" w:color="auto"/>
              <w:right w:val="single" w:sz="4" w:space="0" w:color="auto"/>
            </w:tcBorders>
          </w:tcPr>
          <w:p w14:paraId="07E39140"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4047E7F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 xml:space="preserve">(stycke 1.5.1) </w:t>
            </w:r>
          </w:p>
        </w:tc>
        <w:tc>
          <w:tcPr>
            <w:tcW w:w="993" w:type="dxa"/>
            <w:tcBorders>
              <w:top w:val="nil"/>
              <w:left w:val="single" w:sz="4" w:space="0" w:color="auto"/>
              <w:bottom w:val="single" w:sz="4" w:space="0" w:color="auto"/>
              <w:right w:val="single" w:sz="4" w:space="0" w:color="auto"/>
            </w:tcBorders>
            <w:shd w:val="clear" w:color="auto" w:fill="auto"/>
            <w:hideMark/>
          </w:tcPr>
          <w:p w14:paraId="219BC767"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097AAA08" w14:textId="77777777" w:rsidTr="0092405B">
        <w:trPr>
          <w:trHeight w:val="832"/>
        </w:trPr>
        <w:tc>
          <w:tcPr>
            <w:tcW w:w="852" w:type="dxa"/>
            <w:tcBorders>
              <w:top w:val="nil"/>
              <w:left w:val="single" w:sz="4" w:space="0" w:color="000000"/>
              <w:bottom w:val="single" w:sz="4" w:space="0" w:color="000000"/>
              <w:right w:val="single" w:sz="4" w:space="0" w:color="auto"/>
            </w:tcBorders>
            <w:shd w:val="clear" w:color="000000" w:fill="FCF305"/>
            <w:hideMark/>
          </w:tcPr>
          <w:p w14:paraId="02D297A8"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G4-39</w:t>
            </w:r>
          </w:p>
        </w:tc>
        <w:tc>
          <w:tcPr>
            <w:tcW w:w="4677" w:type="dxa"/>
            <w:tcBorders>
              <w:top w:val="nil"/>
              <w:left w:val="single" w:sz="4" w:space="0" w:color="auto"/>
              <w:bottom w:val="single" w:sz="4" w:space="0" w:color="000000"/>
              <w:right w:val="single" w:sz="4" w:space="0" w:color="auto"/>
            </w:tcBorders>
            <w:shd w:val="clear" w:color="auto" w:fill="auto"/>
            <w:hideMark/>
          </w:tcPr>
          <w:p w14:paraId="6410B835"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Beskriv huruvida ordförande för styrelsen också är verkställande chef (om så är fallet, dennes funktion inom organisationens ledning samt skälet till denna ordning)</w:t>
            </w:r>
          </w:p>
        </w:tc>
        <w:tc>
          <w:tcPr>
            <w:tcW w:w="1134" w:type="dxa"/>
            <w:tcBorders>
              <w:top w:val="nil"/>
              <w:left w:val="single" w:sz="4" w:space="0" w:color="auto"/>
              <w:bottom w:val="single" w:sz="4" w:space="0" w:color="auto"/>
              <w:right w:val="single" w:sz="4" w:space="0" w:color="auto"/>
            </w:tcBorders>
          </w:tcPr>
          <w:p w14:paraId="7077C197"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3D4AA3C2" w14:textId="77777777" w:rsidR="00060570" w:rsidRPr="00EA6971" w:rsidRDefault="00060570" w:rsidP="00060570">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 xml:space="preserve">(stycke 1.5.1) </w:t>
            </w:r>
          </w:p>
        </w:tc>
        <w:tc>
          <w:tcPr>
            <w:tcW w:w="993" w:type="dxa"/>
            <w:tcBorders>
              <w:top w:val="nil"/>
              <w:left w:val="single" w:sz="4" w:space="0" w:color="auto"/>
              <w:bottom w:val="single" w:sz="4" w:space="0" w:color="auto"/>
              <w:right w:val="single" w:sz="4" w:space="0" w:color="auto"/>
            </w:tcBorders>
            <w:shd w:val="clear" w:color="auto" w:fill="auto"/>
            <w:hideMark/>
          </w:tcPr>
          <w:p w14:paraId="73792483"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180D66A3" w14:textId="77777777" w:rsidTr="0092405B">
        <w:trPr>
          <w:trHeight w:val="671"/>
        </w:trPr>
        <w:tc>
          <w:tcPr>
            <w:tcW w:w="852" w:type="dxa"/>
            <w:tcBorders>
              <w:top w:val="nil"/>
              <w:left w:val="single" w:sz="4" w:space="0" w:color="000000"/>
              <w:bottom w:val="single" w:sz="4" w:space="0" w:color="auto"/>
              <w:right w:val="single" w:sz="4" w:space="0" w:color="auto"/>
            </w:tcBorders>
            <w:shd w:val="clear" w:color="000000" w:fill="FCF305"/>
            <w:hideMark/>
          </w:tcPr>
          <w:p w14:paraId="41D9B2D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G4.38</w:t>
            </w:r>
          </w:p>
        </w:tc>
        <w:tc>
          <w:tcPr>
            <w:tcW w:w="4677" w:type="dxa"/>
            <w:tcBorders>
              <w:top w:val="nil"/>
              <w:left w:val="single" w:sz="4" w:space="0" w:color="auto"/>
              <w:bottom w:val="single" w:sz="4" w:space="0" w:color="auto"/>
              <w:right w:val="single" w:sz="4" w:space="0" w:color="auto"/>
            </w:tcBorders>
            <w:shd w:val="clear" w:color="auto" w:fill="auto"/>
            <w:hideMark/>
          </w:tcPr>
          <w:p w14:paraId="57AFF72B"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För organisationer som har endast en styrelsenivå, ange antalet medlemmar inom denna som är oberoende och/eller inte ingår i företagsledningen</w:t>
            </w:r>
          </w:p>
        </w:tc>
        <w:tc>
          <w:tcPr>
            <w:tcW w:w="1134" w:type="dxa"/>
            <w:tcBorders>
              <w:top w:val="nil"/>
              <w:left w:val="single" w:sz="4" w:space="0" w:color="auto"/>
              <w:bottom w:val="single" w:sz="4" w:space="0" w:color="auto"/>
              <w:right w:val="single" w:sz="4" w:space="0" w:color="auto"/>
            </w:tcBorders>
          </w:tcPr>
          <w:p w14:paraId="14AA0484"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597BF1E6"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 xml:space="preserve">(stycke 1.5.1) </w:t>
            </w:r>
          </w:p>
        </w:tc>
        <w:tc>
          <w:tcPr>
            <w:tcW w:w="993" w:type="dxa"/>
            <w:tcBorders>
              <w:top w:val="nil"/>
              <w:left w:val="single" w:sz="4" w:space="0" w:color="auto"/>
              <w:bottom w:val="single" w:sz="4" w:space="0" w:color="auto"/>
              <w:right w:val="single" w:sz="4" w:space="0" w:color="auto"/>
            </w:tcBorders>
            <w:shd w:val="clear" w:color="auto" w:fill="auto"/>
            <w:hideMark/>
          </w:tcPr>
          <w:p w14:paraId="02FBFC5E"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278ED1BA" w14:textId="77777777" w:rsidTr="0092405B">
        <w:trPr>
          <w:trHeight w:val="635"/>
        </w:trPr>
        <w:tc>
          <w:tcPr>
            <w:tcW w:w="852" w:type="dxa"/>
            <w:tcBorders>
              <w:top w:val="single" w:sz="4" w:space="0" w:color="auto"/>
              <w:left w:val="single" w:sz="4" w:space="0" w:color="000000"/>
              <w:bottom w:val="single" w:sz="4" w:space="0" w:color="000000"/>
              <w:right w:val="single" w:sz="4" w:space="0" w:color="auto"/>
            </w:tcBorders>
            <w:shd w:val="clear" w:color="000000" w:fill="FCF305"/>
            <w:hideMark/>
          </w:tcPr>
          <w:p w14:paraId="55272F7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G4-37</w:t>
            </w:r>
          </w:p>
          <w:p w14:paraId="5B53E3A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G4-49</w:t>
            </w:r>
          </w:p>
          <w:p w14:paraId="3C527E0D"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G4-53</w:t>
            </w:r>
          </w:p>
        </w:tc>
        <w:tc>
          <w:tcPr>
            <w:tcW w:w="4677" w:type="dxa"/>
            <w:tcBorders>
              <w:top w:val="single" w:sz="4" w:space="0" w:color="auto"/>
              <w:left w:val="single" w:sz="4" w:space="0" w:color="auto"/>
              <w:bottom w:val="single" w:sz="4" w:space="0" w:color="000000"/>
              <w:right w:val="single" w:sz="4" w:space="0" w:color="auto"/>
            </w:tcBorders>
            <w:shd w:val="clear" w:color="auto" w:fill="auto"/>
            <w:hideMark/>
          </w:tcPr>
          <w:p w14:paraId="43BA8B85"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Möjligheter för aktieägare och anställda att komma med rekommendationer eller riktlinjer till styrelsen eller företagsledningen</w:t>
            </w:r>
          </w:p>
        </w:tc>
        <w:tc>
          <w:tcPr>
            <w:tcW w:w="1134" w:type="dxa"/>
            <w:tcBorders>
              <w:top w:val="single" w:sz="4" w:space="0" w:color="auto"/>
              <w:left w:val="single" w:sz="4" w:space="0" w:color="auto"/>
              <w:bottom w:val="single" w:sz="4" w:space="0" w:color="auto"/>
              <w:right w:val="single" w:sz="4" w:space="0" w:color="auto"/>
            </w:tcBorders>
          </w:tcPr>
          <w:p w14:paraId="66873C24"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D1B0E36"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1.5</w:t>
            </w:r>
            <w:r w:rsidR="00060570" w:rsidRPr="00EA6971">
              <w:rPr>
                <w:rFonts w:eastAsia="Times New Roman" w:cs="Arial"/>
                <w:sz w:val="20"/>
                <w:szCs w:val="20"/>
                <w:lang w:eastAsia="sv-SE"/>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1FD255A"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4416E9C8" w14:textId="77777777" w:rsidTr="0092405B">
        <w:trPr>
          <w:trHeight w:val="975"/>
        </w:trPr>
        <w:tc>
          <w:tcPr>
            <w:tcW w:w="852" w:type="dxa"/>
            <w:tcBorders>
              <w:top w:val="nil"/>
              <w:left w:val="single" w:sz="4" w:space="0" w:color="000000"/>
              <w:bottom w:val="single" w:sz="4" w:space="0" w:color="000000"/>
              <w:right w:val="single" w:sz="4" w:space="0" w:color="auto"/>
            </w:tcBorders>
            <w:shd w:val="clear" w:color="000000" w:fill="FCF305"/>
            <w:hideMark/>
          </w:tcPr>
          <w:p w14:paraId="2D1092DB"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G4-51</w:t>
            </w:r>
          </w:p>
        </w:tc>
        <w:tc>
          <w:tcPr>
            <w:tcW w:w="4677" w:type="dxa"/>
            <w:tcBorders>
              <w:top w:val="nil"/>
              <w:left w:val="single" w:sz="4" w:space="0" w:color="auto"/>
              <w:bottom w:val="single" w:sz="4" w:space="0" w:color="000000"/>
              <w:right w:val="single" w:sz="4" w:space="0" w:color="auto"/>
            </w:tcBorders>
            <w:shd w:val="clear" w:color="auto" w:fill="auto"/>
            <w:hideMark/>
          </w:tcPr>
          <w:p w14:paraId="6FDE9D9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Koppling mellan ersättning till styrelseledamöter, ledande befattningshavare och chefer (inklusive avgångsavtal) och organisationsresultat (inklusive sociala och miljömässiga resultat)</w:t>
            </w:r>
          </w:p>
        </w:tc>
        <w:tc>
          <w:tcPr>
            <w:tcW w:w="1134" w:type="dxa"/>
            <w:tcBorders>
              <w:top w:val="nil"/>
              <w:left w:val="single" w:sz="4" w:space="0" w:color="auto"/>
              <w:bottom w:val="single" w:sz="4" w:space="0" w:color="auto"/>
              <w:right w:val="single" w:sz="4" w:space="0" w:color="auto"/>
            </w:tcBorders>
          </w:tcPr>
          <w:p w14:paraId="4A4FC4DA"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713FBEBA"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1.5</w:t>
            </w:r>
            <w:r w:rsidR="00060570" w:rsidRPr="00EA6971">
              <w:rPr>
                <w:rFonts w:eastAsia="Times New Roman" w:cs="Arial"/>
                <w:sz w:val="20"/>
                <w:szCs w:val="20"/>
                <w:lang w:eastAsia="sv-SE"/>
              </w:rPr>
              <w:t xml:space="preserve">.1) </w:t>
            </w:r>
          </w:p>
        </w:tc>
        <w:tc>
          <w:tcPr>
            <w:tcW w:w="993" w:type="dxa"/>
            <w:tcBorders>
              <w:top w:val="nil"/>
              <w:left w:val="single" w:sz="4" w:space="0" w:color="auto"/>
              <w:bottom w:val="single" w:sz="4" w:space="0" w:color="auto"/>
              <w:right w:val="single" w:sz="4" w:space="0" w:color="auto"/>
            </w:tcBorders>
            <w:shd w:val="clear" w:color="auto" w:fill="auto"/>
            <w:hideMark/>
          </w:tcPr>
          <w:p w14:paraId="3584D61D"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081C7408" w14:textId="77777777" w:rsidTr="0092405B">
        <w:trPr>
          <w:trHeight w:val="492"/>
        </w:trPr>
        <w:tc>
          <w:tcPr>
            <w:tcW w:w="852" w:type="dxa"/>
            <w:tcBorders>
              <w:top w:val="nil"/>
              <w:left w:val="single" w:sz="4" w:space="0" w:color="000000"/>
              <w:bottom w:val="single" w:sz="4" w:space="0" w:color="000000"/>
              <w:right w:val="single" w:sz="4" w:space="0" w:color="auto"/>
            </w:tcBorders>
            <w:shd w:val="clear" w:color="000000" w:fill="FCF305"/>
            <w:hideMark/>
          </w:tcPr>
          <w:p w14:paraId="3E136FE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G4-41</w:t>
            </w:r>
          </w:p>
        </w:tc>
        <w:tc>
          <w:tcPr>
            <w:tcW w:w="4677" w:type="dxa"/>
            <w:tcBorders>
              <w:top w:val="nil"/>
              <w:left w:val="single" w:sz="4" w:space="0" w:color="auto"/>
              <w:bottom w:val="single" w:sz="4" w:space="0" w:color="000000"/>
              <w:right w:val="single" w:sz="4" w:space="0" w:color="auto"/>
            </w:tcBorders>
            <w:shd w:val="clear" w:color="auto" w:fill="auto"/>
            <w:hideMark/>
          </w:tcPr>
          <w:p w14:paraId="0AB9C1E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Rutiner och processer inom styrelsen för att säkerställa att inga intressekonflikter uppstår</w:t>
            </w:r>
          </w:p>
        </w:tc>
        <w:tc>
          <w:tcPr>
            <w:tcW w:w="1134" w:type="dxa"/>
            <w:tcBorders>
              <w:top w:val="nil"/>
              <w:left w:val="single" w:sz="4" w:space="0" w:color="auto"/>
              <w:bottom w:val="single" w:sz="4" w:space="0" w:color="auto"/>
              <w:right w:val="single" w:sz="4" w:space="0" w:color="auto"/>
            </w:tcBorders>
          </w:tcPr>
          <w:p w14:paraId="134F5BA2"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667B2499"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1.5</w:t>
            </w:r>
            <w:r w:rsidR="00060570" w:rsidRPr="00EA6971">
              <w:rPr>
                <w:rFonts w:eastAsia="Times New Roman" w:cs="Arial"/>
                <w:sz w:val="20"/>
                <w:szCs w:val="20"/>
                <w:lang w:eastAsia="sv-SE"/>
              </w:rPr>
              <w:t xml:space="preserve">.1) </w:t>
            </w:r>
          </w:p>
        </w:tc>
        <w:tc>
          <w:tcPr>
            <w:tcW w:w="993" w:type="dxa"/>
            <w:tcBorders>
              <w:top w:val="nil"/>
              <w:left w:val="single" w:sz="4" w:space="0" w:color="auto"/>
              <w:bottom w:val="single" w:sz="4" w:space="0" w:color="auto"/>
              <w:right w:val="single" w:sz="4" w:space="0" w:color="auto"/>
            </w:tcBorders>
            <w:shd w:val="clear" w:color="auto" w:fill="auto"/>
            <w:hideMark/>
          </w:tcPr>
          <w:p w14:paraId="1D37FE1E"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1C221499" w14:textId="77777777" w:rsidTr="0092405B">
        <w:trPr>
          <w:trHeight w:val="948"/>
        </w:trPr>
        <w:tc>
          <w:tcPr>
            <w:tcW w:w="852" w:type="dxa"/>
            <w:tcBorders>
              <w:top w:val="nil"/>
              <w:left w:val="single" w:sz="4" w:space="0" w:color="000000"/>
              <w:bottom w:val="single" w:sz="4" w:space="0" w:color="000000"/>
              <w:right w:val="single" w:sz="4" w:space="0" w:color="auto"/>
            </w:tcBorders>
            <w:shd w:val="clear" w:color="000000" w:fill="FCF305"/>
            <w:hideMark/>
          </w:tcPr>
          <w:p w14:paraId="469C140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G4-40</w:t>
            </w:r>
          </w:p>
        </w:tc>
        <w:tc>
          <w:tcPr>
            <w:tcW w:w="4677" w:type="dxa"/>
            <w:tcBorders>
              <w:top w:val="nil"/>
              <w:left w:val="single" w:sz="4" w:space="0" w:color="auto"/>
              <w:bottom w:val="single" w:sz="4" w:space="0" w:color="000000"/>
              <w:right w:val="single" w:sz="4" w:space="0" w:color="auto"/>
            </w:tcBorders>
            <w:shd w:val="clear" w:color="auto" w:fill="auto"/>
            <w:hideMark/>
          </w:tcPr>
          <w:p w14:paraId="6CB9F297"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Rutiner och processer för att bedöma vilka kvalifikationer och vilken expertis som medlemmarna i högsta ledningen bör besitta för att styra organisationens strategi i ekonomiska, miljömässiga och sociala frågor</w:t>
            </w:r>
          </w:p>
        </w:tc>
        <w:tc>
          <w:tcPr>
            <w:tcW w:w="1134" w:type="dxa"/>
            <w:tcBorders>
              <w:top w:val="nil"/>
              <w:left w:val="single" w:sz="4" w:space="0" w:color="auto"/>
              <w:bottom w:val="single" w:sz="4" w:space="0" w:color="auto"/>
              <w:right w:val="single" w:sz="4" w:space="0" w:color="auto"/>
            </w:tcBorders>
          </w:tcPr>
          <w:p w14:paraId="349C69B7"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6F9069D1"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1.5</w:t>
            </w:r>
            <w:r w:rsidR="00060570" w:rsidRPr="00EA6971">
              <w:rPr>
                <w:rFonts w:eastAsia="Times New Roman" w:cs="Arial"/>
                <w:sz w:val="20"/>
                <w:szCs w:val="20"/>
                <w:lang w:eastAsia="sv-SE"/>
              </w:rPr>
              <w:t xml:space="preserve">.1) </w:t>
            </w:r>
          </w:p>
        </w:tc>
        <w:tc>
          <w:tcPr>
            <w:tcW w:w="993" w:type="dxa"/>
            <w:tcBorders>
              <w:top w:val="nil"/>
              <w:left w:val="single" w:sz="4" w:space="0" w:color="auto"/>
              <w:bottom w:val="single" w:sz="4" w:space="0" w:color="auto"/>
              <w:right w:val="single" w:sz="4" w:space="0" w:color="auto"/>
            </w:tcBorders>
            <w:shd w:val="clear" w:color="auto" w:fill="auto"/>
            <w:hideMark/>
          </w:tcPr>
          <w:p w14:paraId="12387D0D"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0C5A8BCC" w14:textId="77777777" w:rsidTr="0092405B">
        <w:trPr>
          <w:trHeight w:val="948"/>
        </w:trPr>
        <w:tc>
          <w:tcPr>
            <w:tcW w:w="852" w:type="dxa"/>
            <w:tcBorders>
              <w:top w:val="nil"/>
              <w:left w:val="single" w:sz="4" w:space="0" w:color="000000"/>
              <w:bottom w:val="single" w:sz="4" w:space="0" w:color="000000"/>
              <w:right w:val="single" w:sz="4" w:space="0" w:color="auto"/>
            </w:tcBorders>
            <w:shd w:val="clear" w:color="000000" w:fill="FCF305"/>
          </w:tcPr>
          <w:p w14:paraId="627CDFE3"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G4-45</w:t>
            </w:r>
          </w:p>
          <w:p w14:paraId="6BA5EB0B"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G4-47</w:t>
            </w:r>
          </w:p>
        </w:tc>
        <w:tc>
          <w:tcPr>
            <w:tcW w:w="4677" w:type="dxa"/>
            <w:tcBorders>
              <w:top w:val="nil"/>
              <w:left w:val="single" w:sz="4" w:space="0" w:color="auto"/>
              <w:bottom w:val="single" w:sz="4" w:space="0" w:color="000000"/>
              <w:right w:val="single" w:sz="4" w:space="0" w:color="auto"/>
            </w:tcBorders>
            <w:shd w:val="clear" w:color="auto" w:fill="auto"/>
          </w:tcPr>
          <w:p w14:paraId="5736EE32"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Rutiner och processer i organisationens styrelse för att kontrollera hur organisationen uppmärksammar och hanterar ekonomiska, miljömässiga och sociala frågor (risker och möjligheter) samt vilka internationellt överenskomna standarder, uppförandekoder och principer organisationen ansluter sig till och följer</w:t>
            </w:r>
          </w:p>
        </w:tc>
        <w:tc>
          <w:tcPr>
            <w:tcW w:w="1134" w:type="dxa"/>
            <w:tcBorders>
              <w:top w:val="nil"/>
              <w:left w:val="single" w:sz="4" w:space="0" w:color="auto"/>
              <w:bottom w:val="single" w:sz="4" w:space="0" w:color="auto"/>
              <w:right w:val="single" w:sz="4" w:space="0" w:color="auto"/>
            </w:tcBorders>
          </w:tcPr>
          <w:p w14:paraId="715CCEE6"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107A4C7D"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1.3, 1.4)</w:t>
            </w:r>
          </w:p>
        </w:tc>
        <w:tc>
          <w:tcPr>
            <w:tcW w:w="993" w:type="dxa"/>
            <w:tcBorders>
              <w:top w:val="nil"/>
              <w:left w:val="single" w:sz="4" w:space="0" w:color="auto"/>
              <w:bottom w:val="single" w:sz="4" w:space="0" w:color="auto"/>
              <w:right w:val="single" w:sz="4" w:space="0" w:color="auto"/>
            </w:tcBorders>
            <w:shd w:val="clear" w:color="auto" w:fill="auto"/>
          </w:tcPr>
          <w:p w14:paraId="3ED4FF7F"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7AF772B6" w14:textId="77777777" w:rsidTr="0092405B">
        <w:trPr>
          <w:trHeight w:val="815"/>
        </w:trPr>
        <w:tc>
          <w:tcPr>
            <w:tcW w:w="852" w:type="dxa"/>
            <w:tcBorders>
              <w:top w:val="nil"/>
              <w:left w:val="single" w:sz="4" w:space="0" w:color="000000"/>
              <w:bottom w:val="single" w:sz="4" w:space="0" w:color="000000"/>
              <w:right w:val="single" w:sz="4" w:space="0" w:color="auto"/>
            </w:tcBorders>
            <w:shd w:val="clear" w:color="000000" w:fill="FCF305"/>
          </w:tcPr>
          <w:p w14:paraId="08B1D0BA"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G4-44</w:t>
            </w:r>
          </w:p>
        </w:tc>
        <w:tc>
          <w:tcPr>
            <w:tcW w:w="4677" w:type="dxa"/>
            <w:tcBorders>
              <w:top w:val="nil"/>
              <w:left w:val="single" w:sz="4" w:space="0" w:color="auto"/>
              <w:bottom w:val="single" w:sz="4" w:space="0" w:color="000000"/>
              <w:right w:val="single" w:sz="4" w:space="0" w:color="auto"/>
            </w:tcBorders>
            <w:shd w:val="clear" w:color="auto" w:fill="auto"/>
          </w:tcPr>
          <w:p w14:paraId="28A12B37"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Processer för utvärdering av den högsta styrande ledningens egna (prestationer) resultat, i synnerhet vad gäller ekonomiska, miljömässiga och sociala resultat</w:t>
            </w:r>
          </w:p>
        </w:tc>
        <w:tc>
          <w:tcPr>
            <w:tcW w:w="1134" w:type="dxa"/>
            <w:tcBorders>
              <w:top w:val="nil"/>
              <w:left w:val="single" w:sz="4" w:space="0" w:color="auto"/>
              <w:bottom w:val="single" w:sz="4" w:space="0" w:color="auto"/>
              <w:right w:val="single" w:sz="4" w:space="0" w:color="auto"/>
            </w:tcBorders>
          </w:tcPr>
          <w:p w14:paraId="4A03A6E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09280362"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1.5</w:t>
            </w:r>
            <w:r w:rsidR="00060570" w:rsidRPr="00EA6971">
              <w:rPr>
                <w:rFonts w:eastAsia="Times New Roman" w:cs="Arial"/>
                <w:sz w:val="20"/>
                <w:szCs w:val="20"/>
                <w:lang w:eastAsia="sv-SE"/>
              </w:rPr>
              <w:t xml:space="preserve">.1) </w:t>
            </w:r>
          </w:p>
        </w:tc>
        <w:tc>
          <w:tcPr>
            <w:tcW w:w="993" w:type="dxa"/>
            <w:tcBorders>
              <w:top w:val="nil"/>
              <w:left w:val="single" w:sz="4" w:space="0" w:color="auto"/>
              <w:bottom w:val="single" w:sz="4" w:space="0" w:color="auto"/>
              <w:right w:val="single" w:sz="4" w:space="0" w:color="auto"/>
            </w:tcBorders>
            <w:shd w:val="clear" w:color="auto" w:fill="auto"/>
          </w:tcPr>
          <w:p w14:paraId="5F1670EF"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540DC83B" w14:textId="77777777" w:rsidTr="0092405B">
        <w:trPr>
          <w:trHeight w:val="270"/>
        </w:trPr>
        <w:tc>
          <w:tcPr>
            <w:tcW w:w="852" w:type="dxa"/>
            <w:tcBorders>
              <w:top w:val="nil"/>
              <w:left w:val="single" w:sz="4" w:space="0" w:color="000000"/>
              <w:bottom w:val="single" w:sz="4" w:space="0" w:color="000000"/>
              <w:right w:val="single" w:sz="4" w:space="0" w:color="auto"/>
            </w:tcBorders>
            <w:shd w:val="clear" w:color="auto" w:fill="BFBFBF" w:themeFill="background1" w:themeFillShade="BF"/>
          </w:tcPr>
          <w:p w14:paraId="01F8B3EC"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nil"/>
              <w:left w:val="single" w:sz="4" w:space="0" w:color="auto"/>
              <w:bottom w:val="single" w:sz="4" w:space="0" w:color="000000"/>
              <w:right w:val="single" w:sz="4" w:space="0" w:color="auto"/>
            </w:tcBorders>
            <w:shd w:val="clear" w:color="auto" w:fill="BFBFBF" w:themeFill="background1" w:themeFillShade="BF"/>
          </w:tcPr>
          <w:p w14:paraId="3D1B0554"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Etik och integritet</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50A841E1"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61F447D4"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737469DA"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5073F72F" w14:textId="77777777" w:rsidTr="0092405B">
        <w:trPr>
          <w:trHeight w:val="957"/>
        </w:trPr>
        <w:tc>
          <w:tcPr>
            <w:tcW w:w="852" w:type="dxa"/>
            <w:tcBorders>
              <w:top w:val="single" w:sz="4" w:space="0" w:color="auto"/>
              <w:left w:val="single" w:sz="4" w:space="0" w:color="000000"/>
              <w:bottom w:val="single" w:sz="4" w:space="0" w:color="000000"/>
              <w:right w:val="single" w:sz="4" w:space="0" w:color="auto"/>
            </w:tcBorders>
            <w:shd w:val="clear" w:color="000000" w:fill="FCF305"/>
            <w:hideMark/>
          </w:tcPr>
          <w:p w14:paraId="2FC758F9"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G4-56</w:t>
            </w:r>
          </w:p>
        </w:tc>
        <w:tc>
          <w:tcPr>
            <w:tcW w:w="4677" w:type="dxa"/>
            <w:tcBorders>
              <w:top w:val="single" w:sz="4" w:space="0" w:color="auto"/>
              <w:left w:val="single" w:sz="4" w:space="0" w:color="auto"/>
              <w:bottom w:val="single" w:sz="4" w:space="0" w:color="000000"/>
              <w:right w:val="single" w:sz="4" w:space="0" w:color="auto"/>
            </w:tcBorders>
            <w:shd w:val="clear" w:color="auto" w:fill="auto"/>
            <w:hideMark/>
          </w:tcPr>
          <w:p w14:paraId="0DAD249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Internt framtagna affärsidéer eller värderingar, uppförandekod och principer som är relevanta för ekonomiska, miljömässiga och sociala resultat, samt status av deras genomförande</w:t>
            </w:r>
          </w:p>
        </w:tc>
        <w:tc>
          <w:tcPr>
            <w:tcW w:w="1134" w:type="dxa"/>
            <w:tcBorders>
              <w:top w:val="single" w:sz="4" w:space="0" w:color="auto"/>
              <w:left w:val="single" w:sz="4" w:space="0" w:color="auto"/>
              <w:bottom w:val="single" w:sz="4" w:space="0" w:color="auto"/>
              <w:right w:val="single" w:sz="4" w:space="0" w:color="auto"/>
            </w:tcBorders>
          </w:tcPr>
          <w:p w14:paraId="4662AB46"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2516928"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r w:rsidR="00060570" w:rsidRPr="00EA6971">
              <w:rPr>
                <w:rFonts w:eastAsia="Times New Roman" w:cs="Arial"/>
                <w:sz w:val="20"/>
                <w:szCs w:val="20"/>
                <w:lang w:eastAsia="sv-SE"/>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3BFD5F"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2ED2B117" w14:textId="77777777" w:rsidTr="0092405B">
        <w:trPr>
          <w:trHeight w:val="270"/>
        </w:trPr>
        <w:tc>
          <w:tcPr>
            <w:tcW w:w="852" w:type="dxa"/>
            <w:tcBorders>
              <w:top w:val="single" w:sz="4" w:space="0" w:color="auto"/>
              <w:left w:val="single" w:sz="4" w:space="0" w:color="000000"/>
              <w:bottom w:val="single" w:sz="4" w:space="0" w:color="000000"/>
              <w:right w:val="single" w:sz="4" w:space="0" w:color="auto"/>
            </w:tcBorders>
            <w:shd w:val="clear" w:color="auto" w:fill="BFBFBF" w:themeFill="background1" w:themeFillShade="BF"/>
          </w:tcPr>
          <w:p w14:paraId="0BDE9F78"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76986674" w14:textId="77777777" w:rsidR="00060570" w:rsidRPr="00EE4B96"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Åtagande mot externa parter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9F6241"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94A08"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E9D665"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2A672C11" w14:textId="77777777" w:rsidTr="0092405B">
        <w:trPr>
          <w:trHeight w:val="492"/>
        </w:trPr>
        <w:tc>
          <w:tcPr>
            <w:tcW w:w="852" w:type="dxa"/>
            <w:tcBorders>
              <w:top w:val="single" w:sz="4" w:space="0" w:color="auto"/>
              <w:left w:val="single" w:sz="4" w:space="0" w:color="000000"/>
              <w:bottom w:val="single" w:sz="4" w:space="0" w:color="000000"/>
              <w:right w:val="single" w:sz="4" w:space="0" w:color="auto"/>
            </w:tcBorders>
            <w:shd w:val="clear" w:color="000000" w:fill="FCF305"/>
            <w:hideMark/>
          </w:tcPr>
          <w:p w14:paraId="63E0955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G4-14</w:t>
            </w:r>
          </w:p>
        </w:tc>
        <w:tc>
          <w:tcPr>
            <w:tcW w:w="4677" w:type="dxa"/>
            <w:tcBorders>
              <w:top w:val="single" w:sz="4" w:space="0" w:color="auto"/>
              <w:left w:val="single" w:sz="4" w:space="0" w:color="auto"/>
              <w:bottom w:val="single" w:sz="4" w:space="0" w:color="000000"/>
              <w:right w:val="single" w:sz="4" w:space="0" w:color="auto"/>
            </w:tcBorders>
            <w:shd w:val="clear" w:color="auto" w:fill="auto"/>
            <w:hideMark/>
          </w:tcPr>
          <w:p w14:paraId="39CF4B6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Förklaring om och hur försiktighetsprincipen används av organisationen</w:t>
            </w:r>
          </w:p>
        </w:tc>
        <w:tc>
          <w:tcPr>
            <w:tcW w:w="1134" w:type="dxa"/>
            <w:tcBorders>
              <w:top w:val="single" w:sz="4" w:space="0" w:color="auto"/>
              <w:left w:val="single" w:sz="4" w:space="0" w:color="auto"/>
              <w:bottom w:val="single" w:sz="4" w:space="0" w:color="auto"/>
              <w:right w:val="single" w:sz="4" w:space="0" w:color="auto"/>
            </w:tcBorders>
          </w:tcPr>
          <w:p w14:paraId="608DA6B5"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5414F3D"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8996B4"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6.5.2</w:t>
            </w:r>
          </w:p>
        </w:tc>
      </w:tr>
      <w:tr w:rsidR="00060570" w:rsidRPr="00EA6971" w14:paraId="0314669D" w14:textId="77777777" w:rsidTr="0092405B">
        <w:trPr>
          <w:trHeight w:val="805"/>
        </w:trPr>
        <w:tc>
          <w:tcPr>
            <w:tcW w:w="852" w:type="dxa"/>
            <w:tcBorders>
              <w:top w:val="single" w:sz="4" w:space="0" w:color="auto"/>
              <w:left w:val="single" w:sz="4" w:space="0" w:color="000000"/>
              <w:bottom w:val="single" w:sz="4" w:space="0" w:color="000000"/>
              <w:right w:val="single" w:sz="4" w:space="0" w:color="auto"/>
            </w:tcBorders>
            <w:shd w:val="clear" w:color="000000" w:fill="FCF305"/>
            <w:hideMark/>
          </w:tcPr>
          <w:p w14:paraId="5312564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G4-15</w:t>
            </w:r>
          </w:p>
        </w:tc>
        <w:tc>
          <w:tcPr>
            <w:tcW w:w="4677" w:type="dxa"/>
            <w:tcBorders>
              <w:top w:val="single" w:sz="4" w:space="0" w:color="auto"/>
              <w:left w:val="single" w:sz="4" w:space="0" w:color="auto"/>
              <w:bottom w:val="single" w:sz="4" w:space="0" w:color="000000"/>
              <w:right w:val="single" w:sz="4" w:space="0" w:color="auto"/>
            </w:tcBorders>
            <w:shd w:val="clear" w:color="auto" w:fill="auto"/>
            <w:hideMark/>
          </w:tcPr>
          <w:p w14:paraId="0183B96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Externt utvecklade ekonomiska, miljömässiga och sociala deklarationer, principer och andra initiativ som organisationen skrivit under eller stödjer</w:t>
            </w:r>
          </w:p>
        </w:tc>
        <w:tc>
          <w:tcPr>
            <w:tcW w:w="1134" w:type="dxa"/>
            <w:tcBorders>
              <w:top w:val="single" w:sz="4" w:space="0" w:color="auto"/>
              <w:left w:val="single" w:sz="4" w:space="0" w:color="auto"/>
              <w:bottom w:val="single" w:sz="4" w:space="0" w:color="auto"/>
              <w:right w:val="single" w:sz="4" w:space="0" w:color="auto"/>
            </w:tcBorders>
          </w:tcPr>
          <w:p w14:paraId="356D852E"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9B15D8"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9A1E67E"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309E4662" w14:textId="77777777" w:rsidTr="0092405B">
        <w:trPr>
          <w:trHeight w:val="799"/>
        </w:trPr>
        <w:tc>
          <w:tcPr>
            <w:tcW w:w="852" w:type="dxa"/>
            <w:tcBorders>
              <w:top w:val="nil"/>
              <w:left w:val="single" w:sz="4" w:space="0" w:color="000000"/>
              <w:bottom w:val="single" w:sz="4" w:space="0" w:color="000000"/>
              <w:right w:val="single" w:sz="4" w:space="0" w:color="auto"/>
            </w:tcBorders>
            <w:shd w:val="clear" w:color="000000" w:fill="FCF305"/>
            <w:hideMark/>
          </w:tcPr>
          <w:p w14:paraId="40B14BA8"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G4-16</w:t>
            </w:r>
          </w:p>
        </w:tc>
        <w:tc>
          <w:tcPr>
            <w:tcW w:w="4677" w:type="dxa"/>
            <w:tcBorders>
              <w:top w:val="nil"/>
              <w:left w:val="single" w:sz="4" w:space="0" w:color="auto"/>
              <w:bottom w:val="single" w:sz="4" w:space="0" w:color="000000"/>
              <w:right w:val="single" w:sz="4" w:space="0" w:color="auto"/>
            </w:tcBorders>
            <w:shd w:val="clear" w:color="auto" w:fill="auto"/>
            <w:hideMark/>
          </w:tcPr>
          <w:p w14:paraId="6CB055D4"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Medlemskap i organisationer (till exempel branschorganisationer) och/eller nationella/internationella lobbyorganisationer</w:t>
            </w:r>
          </w:p>
        </w:tc>
        <w:tc>
          <w:tcPr>
            <w:tcW w:w="1134" w:type="dxa"/>
            <w:tcBorders>
              <w:top w:val="nil"/>
              <w:left w:val="single" w:sz="4" w:space="0" w:color="auto"/>
              <w:bottom w:val="single" w:sz="4" w:space="0" w:color="auto"/>
              <w:right w:val="single" w:sz="4" w:space="0" w:color="auto"/>
            </w:tcBorders>
          </w:tcPr>
          <w:p w14:paraId="43D9A924"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103A9F20"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1.6.1, 2.6.2)</w:t>
            </w:r>
          </w:p>
        </w:tc>
        <w:tc>
          <w:tcPr>
            <w:tcW w:w="993" w:type="dxa"/>
            <w:tcBorders>
              <w:top w:val="nil"/>
              <w:left w:val="single" w:sz="4" w:space="0" w:color="auto"/>
              <w:bottom w:val="single" w:sz="4" w:space="0" w:color="auto"/>
              <w:right w:val="single" w:sz="4" w:space="0" w:color="auto"/>
            </w:tcBorders>
            <w:shd w:val="clear" w:color="auto" w:fill="auto"/>
            <w:hideMark/>
          </w:tcPr>
          <w:p w14:paraId="33F74852"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77B69006" w14:textId="77777777" w:rsidTr="0092405B">
        <w:trPr>
          <w:trHeight w:val="279"/>
        </w:trPr>
        <w:tc>
          <w:tcPr>
            <w:tcW w:w="852" w:type="dxa"/>
            <w:tcBorders>
              <w:top w:val="nil"/>
              <w:left w:val="single" w:sz="4" w:space="0" w:color="000000"/>
              <w:bottom w:val="single" w:sz="4" w:space="0" w:color="000000"/>
              <w:right w:val="single" w:sz="4" w:space="0" w:color="auto"/>
            </w:tcBorders>
            <w:shd w:val="clear" w:color="auto" w:fill="BFBFBF" w:themeFill="background1" w:themeFillShade="BF"/>
          </w:tcPr>
          <w:p w14:paraId="42FEFA37"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nil"/>
              <w:left w:val="single" w:sz="4" w:space="0" w:color="auto"/>
              <w:bottom w:val="single" w:sz="4" w:space="0" w:color="000000"/>
              <w:right w:val="single" w:sz="4" w:space="0" w:color="auto"/>
            </w:tcBorders>
            <w:shd w:val="clear" w:color="auto" w:fill="BFBFBF" w:themeFill="background1" w:themeFillShade="BF"/>
          </w:tcPr>
          <w:p w14:paraId="4AD1D6F0"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Intressent engagemang</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6F2F8F8C"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0EA2F050"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1BE9E9AF"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7B864E95" w14:textId="77777777" w:rsidTr="0092405B">
        <w:trPr>
          <w:trHeight w:val="304"/>
        </w:trPr>
        <w:tc>
          <w:tcPr>
            <w:tcW w:w="852" w:type="dxa"/>
            <w:tcBorders>
              <w:top w:val="nil"/>
              <w:left w:val="single" w:sz="4" w:space="0" w:color="000000"/>
              <w:bottom w:val="single" w:sz="4" w:space="0" w:color="000000"/>
              <w:right w:val="single" w:sz="4" w:space="0" w:color="auto"/>
            </w:tcBorders>
            <w:shd w:val="clear" w:color="000000" w:fill="FCF305"/>
            <w:hideMark/>
          </w:tcPr>
          <w:p w14:paraId="31C031E3"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G4-24</w:t>
            </w:r>
          </w:p>
        </w:tc>
        <w:tc>
          <w:tcPr>
            <w:tcW w:w="4677" w:type="dxa"/>
            <w:tcBorders>
              <w:top w:val="nil"/>
              <w:left w:val="single" w:sz="4" w:space="0" w:color="auto"/>
              <w:bottom w:val="single" w:sz="4" w:space="0" w:color="000000"/>
              <w:right w:val="single" w:sz="4" w:space="0" w:color="auto"/>
            </w:tcBorders>
            <w:shd w:val="clear" w:color="auto" w:fill="auto"/>
            <w:hideMark/>
          </w:tcPr>
          <w:p w14:paraId="3546A71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Lista de intressentgrupper som engagerats av organisationen</w:t>
            </w:r>
          </w:p>
        </w:tc>
        <w:tc>
          <w:tcPr>
            <w:tcW w:w="1134" w:type="dxa"/>
            <w:tcBorders>
              <w:top w:val="nil"/>
              <w:left w:val="single" w:sz="4" w:space="0" w:color="auto"/>
              <w:bottom w:val="single" w:sz="4" w:space="0" w:color="auto"/>
              <w:right w:val="single" w:sz="4" w:space="0" w:color="auto"/>
            </w:tcBorders>
          </w:tcPr>
          <w:p w14:paraId="7285A83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0C94793E"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1.6</w:t>
            </w:r>
            <w:r w:rsidR="00060570" w:rsidRPr="00EA6971">
              <w:rPr>
                <w:rFonts w:eastAsia="Times New Roman" w:cs="Arial"/>
                <w:sz w:val="20"/>
                <w:szCs w:val="20"/>
                <w:lang w:eastAsia="sv-SE"/>
              </w:rPr>
              <w:t>.3)</w:t>
            </w:r>
          </w:p>
        </w:tc>
        <w:tc>
          <w:tcPr>
            <w:tcW w:w="993" w:type="dxa"/>
            <w:tcBorders>
              <w:top w:val="nil"/>
              <w:left w:val="single" w:sz="4" w:space="0" w:color="auto"/>
              <w:bottom w:val="single" w:sz="4" w:space="0" w:color="auto"/>
              <w:right w:val="single" w:sz="4" w:space="0" w:color="auto"/>
            </w:tcBorders>
            <w:shd w:val="clear" w:color="auto" w:fill="auto"/>
            <w:hideMark/>
          </w:tcPr>
          <w:p w14:paraId="36FBF8D8"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01FFA3C8" w14:textId="77777777" w:rsidTr="0092405B">
        <w:trPr>
          <w:trHeight w:val="304"/>
        </w:trPr>
        <w:tc>
          <w:tcPr>
            <w:tcW w:w="852" w:type="dxa"/>
            <w:tcBorders>
              <w:top w:val="nil"/>
              <w:left w:val="single" w:sz="4" w:space="0" w:color="000000"/>
              <w:bottom w:val="single" w:sz="4" w:space="0" w:color="000000"/>
              <w:right w:val="single" w:sz="4" w:space="0" w:color="auto"/>
            </w:tcBorders>
            <w:shd w:val="clear" w:color="000000" w:fill="FCF305"/>
            <w:hideMark/>
          </w:tcPr>
          <w:p w14:paraId="6A819B58"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G4-25</w:t>
            </w:r>
          </w:p>
        </w:tc>
        <w:tc>
          <w:tcPr>
            <w:tcW w:w="4677" w:type="dxa"/>
            <w:tcBorders>
              <w:top w:val="nil"/>
              <w:left w:val="single" w:sz="4" w:space="0" w:color="auto"/>
              <w:bottom w:val="single" w:sz="4" w:space="0" w:color="000000"/>
              <w:right w:val="single" w:sz="4" w:space="0" w:color="auto"/>
            </w:tcBorders>
            <w:shd w:val="clear" w:color="auto" w:fill="auto"/>
            <w:hideMark/>
          </w:tcPr>
          <w:p w14:paraId="09316A7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Utgångspunkt för identifiering och urval av intressenter som involveras</w:t>
            </w:r>
          </w:p>
        </w:tc>
        <w:tc>
          <w:tcPr>
            <w:tcW w:w="1134" w:type="dxa"/>
            <w:tcBorders>
              <w:top w:val="nil"/>
              <w:left w:val="single" w:sz="4" w:space="0" w:color="auto"/>
              <w:bottom w:val="single" w:sz="4" w:space="0" w:color="auto"/>
              <w:right w:val="single" w:sz="4" w:space="0" w:color="auto"/>
            </w:tcBorders>
          </w:tcPr>
          <w:p w14:paraId="47CF305A"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727EB898"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1.6.3)</w:t>
            </w:r>
          </w:p>
        </w:tc>
        <w:tc>
          <w:tcPr>
            <w:tcW w:w="993" w:type="dxa"/>
            <w:tcBorders>
              <w:top w:val="nil"/>
              <w:left w:val="single" w:sz="4" w:space="0" w:color="auto"/>
              <w:bottom w:val="single" w:sz="4" w:space="0" w:color="auto"/>
              <w:right w:val="single" w:sz="4" w:space="0" w:color="auto"/>
            </w:tcBorders>
            <w:shd w:val="clear" w:color="auto" w:fill="auto"/>
            <w:hideMark/>
          </w:tcPr>
          <w:p w14:paraId="027C9F80"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5A452C0C" w14:textId="77777777" w:rsidTr="0092405B">
        <w:trPr>
          <w:trHeight w:val="617"/>
        </w:trPr>
        <w:tc>
          <w:tcPr>
            <w:tcW w:w="852" w:type="dxa"/>
            <w:tcBorders>
              <w:top w:val="nil"/>
              <w:left w:val="single" w:sz="4" w:space="0" w:color="000000"/>
              <w:bottom w:val="single" w:sz="4" w:space="0" w:color="auto"/>
              <w:right w:val="single" w:sz="4" w:space="0" w:color="auto"/>
            </w:tcBorders>
            <w:shd w:val="clear" w:color="000000" w:fill="FCF305"/>
            <w:hideMark/>
          </w:tcPr>
          <w:p w14:paraId="473ADE9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G4-26</w:t>
            </w:r>
          </w:p>
        </w:tc>
        <w:tc>
          <w:tcPr>
            <w:tcW w:w="4677" w:type="dxa"/>
            <w:tcBorders>
              <w:top w:val="nil"/>
              <w:left w:val="single" w:sz="4" w:space="0" w:color="auto"/>
              <w:bottom w:val="single" w:sz="4" w:space="0" w:color="auto"/>
              <w:right w:val="single" w:sz="4" w:space="0" w:color="auto"/>
            </w:tcBorders>
            <w:shd w:val="clear" w:color="auto" w:fill="auto"/>
            <w:hideMark/>
          </w:tcPr>
          <w:p w14:paraId="38791FE9"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Tillvägagångssätt vid intressentengagemang, inklusive hur ofta och vilken typ av kontakter per typ och per intressentgrupp. </w:t>
            </w:r>
          </w:p>
        </w:tc>
        <w:tc>
          <w:tcPr>
            <w:tcW w:w="1134" w:type="dxa"/>
            <w:tcBorders>
              <w:top w:val="nil"/>
              <w:left w:val="single" w:sz="4" w:space="0" w:color="auto"/>
              <w:bottom w:val="single" w:sz="4" w:space="0" w:color="auto"/>
              <w:right w:val="single" w:sz="4" w:space="0" w:color="auto"/>
            </w:tcBorders>
          </w:tcPr>
          <w:p w14:paraId="19CA0B88"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77292ABB"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1.6.3)</w:t>
            </w:r>
          </w:p>
        </w:tc>
        <w:tc>
          <w:tcPr>
            <w:tcW w:w="993" w:type="dxa"/>
            <w:tcBorders>
              <w:top w:val="nil"/>
              <w:left w:val="single" w:sz="4" w:space="0" w:color="auto"/>
              <w:bottom w:val="single" w:sz="4" w:space="0" w:color="auto"/>
              <w:right w:val="single" w:sz="4" w:space="0" w:color="auto"/>
            </w:tcBorders>
            <w:shd w:val="clear" w:color="auto" w:fill="auto"/>
            <w:hideMark/>
          </w:tcPr>
          <w:p w14:paraId="01594F55"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471C3581" w14:textId="77777777" w:rsidTr="0092405B">
        <w:trPr>
          <w:trHeight w:val="859"/>
        </w:trPr>
        <w:tc>
          <w:tcPr>
            <w:tcW w:w="852" w:type="dxa"/>
            <w:tcBorders>
              <w:top w:val="single" w:sz="4" w:space="0" w:color="auto"/>
              <w:left w:val="single" w:sz="4" w:space="0" w:color="000000"/>
              <w:bottom w:val="single" w:sz="4" w:space="0" w:color="000000"/>
              <w:right w:val="single" w:sz="4" w:space="0" w:color="auto"/>
            </w:tcBorders>
            <w:shd w:val="clear" w:color="000000" w:fill="FCF305"/>
            <w:hideMark/>
          </w:tcPr>
          <w:p w14:paraId="2AB79CBB"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G4-27</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6104851A"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Viktiga områden och frågor som har lyfts via kommunikation med intressenter, och hur organisationen har hanterat dessa områden och frågor, inklusive genom organisationens redovisning</w:t>
            </w:r>
            <w:r w:rsidR="0092405B" w:rsidRPr="00EA6971">
              <w:rPr>
                <w:rFonts w:eastAsia="Times New Roman" w:cs="Arial"/>
                <w:sz w:val="20"/>
                <w:szCs w:val="20"/>
                <w:lang w:eastAsia="sv-SE"/>
              </w:rPr>
              <w:t>.</w:t>
            </w:r>
          </w:p>
        </w:tc>
        <w:tc>
          <w:tcPr>
            <w:tcW w:w="1134" w:type="dxa"/>
            <w:tcBorders>
              <w:top w:val="single" w:sz="4" w:space="0" w:color="auto"/>
              <w:left w:val="single" w:sz="4" w:space="0" w:color="auto"/>
              <w:bottom w:val="single" w:sz="4" w:space="0" w:color="auto"/>
              <w:right w:val="single" w:sz="4" w:space="0" w:color="auto"/>
            </w:tcBorders>
          </w:tcPr>
          <w:p w14:paraId="0573281E"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D6A911"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1.6.3)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20C46C"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6.2</w:t>
            </w:r>
          </w:p>
        </w:tc>
      </w:tr>
      <w:tr w:rsidR="00060570" w:rsidRPr="00EA6971" w14:paraId="4D2A0964" w14:textId="77777777" w:rsidTr="0092405B">
        <w:trPr>
          <w:trHeight w:val="237"/>
        </w:trPr>
        <w:tc>
          <w:tcPr>
            <w:tcW w:w="852" w:type="dxa"/>
            <w:tcBorders>
              <w:top w:val="single" w:sz="4" w:space="0" w:color="auto"/>
              <w:left w:val="single" w:sz="4" w:space="0" w:color="000000"/>
              <w:bottom w:val="single" w:sz="4" w:space="0" w:color="000000"/>
              <w:right w:val="single" w:sz="4" w:space="0" w:color="auto"/>
            </w:tcBorders>
            <w:shd w:val="clear" w:color="auto" w:fill="BFBFBF" w:themeFill="background1" w:themeFillShade="BF"/>
          </w:tcPr>
          <w:p w14:paraId="203D80A3"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CC0D5"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Ekonomi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FEA07E"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FD804"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EEDEA"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3459F785" w14:textId="77777777" w:rsidTr="0092405B">
        <w:trPr>
          <w:trHeight w:val="754"/>
        </w:trPr>
        <w:tc>
          <w:tcPr>
            <w:tcW w:w="852" w:type="dxa"/>
            <w:tcBorders>
              <w:top w:val="nil"/>
              <w:left w:val="single" w:sz="4" w:space="0" w:color="000000"/>
              <w:bottom w:val="single" w:sz="4" w:space="0" w:color="000000"/>
              <w:right w:val="single" w:sz="4" w:space="0" w:color="auto"/>
            </w:tcBorders>
            <w:shd w:val="clear" w:color="000000" w:fill="FCF305"/>
            <w:hideMark/>
          </w:tcPr>
          <w:p w14:paraId="60B723E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G4-EC1</w:t>
            </w:r>
          </w:p>
        </w:tc>
        <w:tc>
          <w:tcPr>
            <w:tcW w:w="4677" w:type="dxa"/>
            <w:tcBorders>
              <w:top w:val="nil"/>
              <w:left w:val="single" w:sz="4" w:space="0" w:color="auto"/>
              <w:bottom w:val="single" w:sz="4" w:space="0" w:color="000000"/>
              <w:right w:val="single" w:sz="4" w:space="0" w:color="auto"/>
            </w:tcBorders>
            <w:shd w:val="clear" w:color="auto" w:fill="auto"/>
            <w:hideMark/>
          </w:tcPr>
          <w:p w14:paraId="6CEA6329"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Skapat och levererat direkt ekonomiskt värde.</w:t>
            </w:r>
          </w:p>
        </w:tc>
        <w:tc>
          <w:tcPr>
            <w:tcW w:w="1134" w:type="dxa"/>
            <w:tcBorders>
              <w:top w:val="nil"/>
              <w:left w:val="single" w:sz="4" w:space="0" w:color="auto"/>
              <w:bottom w:val="single" w:sz="4" w:space="0" w:color="auto"/>
              <w:right w:val="single" w:sz="4" w:space="0" w:color="auto"/>
            </w:tcBorders>
          </w:tcPr>
          <w:p w14:paraId="76EB05D7"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314C035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ÅR hela samt GRI-rapport kapitel 3.1 Resultat ekonomi</w:t>
            </w:r>
          </w:p>
        </w:tc>
        <w:tc>
          <w:tcPr>
            <w:tcW w:w="993" w:type="dxa"/>
            <w:tcBorders>
              <w:top w:val="nil"/>
              <w:left w:val="single" w:sz="4" w:space="0" w:color="auto"/>
              <w:bottom w:val="single" w:sz="4" w:space="0" w:color="auto"/>
              <w:right w:val="single" w:sz="4" w:space="0" w:color="auto"/>
            </w:tcBorders>
            <w:shd w:val="clear" w:color="auto" w:fill="auto"/>
            <w:hideMark/>
          </w:tcPr>
          <w:p w14:paraId="4C27F7CB"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6.8</w:t>
            </w:r>
          </w:p>
        </w:tc>
      </w:tr>
      <w:tr w:rsidR="00060570" w:rsidRPr="00EA6971" w14:paraId="12362435" w14:textId="77777777" w:rsidTr="0092405B">
        <w:trPr>
          <w:trHeight w:val="653"/>
        </w:trPr>
        <w:tc>
          <w:tcPr>
            <w:tcW w:w="852" w:type="dxa"/>
            <w:tcBorders>
              <w:top w:val="nil"/>
              <w:left w:val="single" w:sz="4" w:space="0" w:color="000000"/>
              <w:bottom w:val="single" w:sz="4" w:space="0" w:color="000000"/>
              <w:right w:val="single" w:sz="4" w:space="0" w:color="auto"/>
            </w:tcBorders>
            <w:shd w:val="clear" w:color="000000" w:fill="FCF305"/>
            <w:hideMark/>
          </w:tcPr>
          <w:p w14:paraId="7A797BC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G4-EC2</w:t>
            </w:r>
          </w:p>
        </w:tc>
        <w:tc>
          <w:tcPr>
            <w:tcW w:w="4677" w:type="dxa"/>
            <w:tcBorders>
              <w:top w:val="nil"/>
              <w:left w:val="single" w:sz="4" w:space="0" w:color="auto"/>
              <w:bottom w:val="single" w:sz="4" w:space="0" w:color="000000"/>
              <w:right w:val="single" w:sz="4" w:space="0" w:color="auto"/>
            </w:tcBorders>
            <w:shd w:val="clear" w:color="auto" w:fill="auto"/>
            <w:hideMark/>
          </w:tcPr>
          <w:p w14:paraId="218FB3E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Finansiell påverkan, andra risker och möjligheter för organisationens aktiviteter, hänförliga till klimatförändringen.</w:t>
            </w:r>
          </w:p>
        </w:tc>
        <w:tc>
          <w:tcPr>
            <w:tcW w:w="1134" w:type="dxa"/>
            <w:tcBorders>
              <w:top w:val="nil"/>
              <w:left w:val="single" w:sz="4" w:space="0" w:color="auto"/>
              <w:bottom w:val="single" w:sz="4" w:space="0" w:color="auto"/>
              <w:right w:val="single" w:sz="4" w:space="0" w:color="auto"/>
            </w:tcBorders>
          </w:tcPr>
          <w:p w14:paraId="20F485F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5FC55782" w14:textId="77777777" w:rsidR="00060570" w:rsidRPr="00EA6971" w:rsidRDefault="00197D35" w:rsidP="00197D35">
            <w:pPr>
              <w:spacing w:after="0" w:line="240" w:lineRule="auto"/>
              <w:rPr>
                <w:rFonts w:eastAsia="Times New Roman" w:cs="Arial"/>
                <w:sz w:val="20"/>
                <w:szCs w:val="20"/>
                <w:lang w:eastAsia="sv-SE"/>
              </w:rPr>
            </w:pPr>
            <w:r w:rsidRPr="00EA6971">
              <w:rPr>
                <w:rFonts w:eastAsia="Times New Roman" w:cs="Arial"/>
                <w:sz w:val="20"/>
                <w:szCs w:val="20"/>
                <w:lang w:eastAsia="sv-SE"/>
              </w:rPr>
              <w:t>GRI-rapport k</w:t>
            </w:r>
            <w:r w:rsidR="00060570" w:rsidRPr="00EA6971">
              <w:rPr>
                <w:rFonts w:eastAsia="Times New Roman" w:cs="Arial"/>
                <w:sz w:val="20"/>
                <w:szCs w:val="20"/>
                <w:lang w:eastAsia="sv-SE"/>
              </w:rPr>
              <w:t>ap 1</w:t>
            </w:r>
          </w:p>
        </w:tc>
        <w:tc>
          <w:tcPr>
            <w:tcW w:w="993" w:type="dxa"/>
            <w:tcBorders>
              <w:top w:val="nil"/>
              <w:left w:val="single" w:sz="4" w:space="0" w:color="auto"/>
              <w:bottom w:val="single" w:sz="4" w:space="0" w:color="auto"/>
              <w:right w:val="single" w:sz="4" w:space="0" w:color="auto"/>
            </w:tcBorders>
            <w:shd w:val="clear" w:color="auto" w:fill="auto"/>
            <w:hideMark/>
          </w:tcPr>
          <w:p w14:paraId="30BB0832"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6.5.5</w:t>
            </w:r>
          </w:p>
        </w:tc>
      </w:tr>
      <w:tr w:rsidR="00060570" w:rsidRPr="00EA6971" w14:paraId="34929F0A" w14:textId="77777777" w:rsidTr="0092405B">
        <w:trPr>
          <w:trHeight w:val="492"/>
        </w:trPr>
        <w:tc>
          <w:tcPr>
            <w:tcW w:w="852" w:type="dxa"/>
            <w:tcBorders>
              <w:top w:val="nil"/>
              <w:left w:val="single" w:sz="4" w:space="0" w:color="000000"/>
              <w:bottom w:val="single" w:sz="4" w:space="0" w:color="000000"/>
              <w:right w:val="single" w:sz="4" w:space="0" w:color="auto"/>
            </w:tcBorders>
            <w:shd w:val="clear" w:color="000000" w:fill="FCF305"/>
          </w:tcPr>
          <w:p w14:paraId="4217C804"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G4-EC7</w:t>
            </w:r>
          </w:p>
        </w:tc>
        <w:tc>
          <w:tcPr>
            <w:tcW w:w="4677" w:type="dxa"/>
            <w:tcBorders>
              <w:top w:val="nil"/>
              <w:left w:val="single" w:sz="4" w:space="0" w:color="auto"/>
              <w:bottom w:val="single" w:sz="4" w:space="0" w:color="000000"/>
              <w:right w:val="single" w:sz="4" w:space="0" w:color="auto"/>
            </w:tcBorders>
            <w:shd w:val="clear" w:color="auto" w:fill="auto"/>
          </w:tcPr>
          <w:p w14:paraId="2561153A"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Utveckling och stöd till infrastrukturinvesteringar och tjänster</w:t>
            </w:r>
          </w:p>
        </w:tc>
        <w:tc>
          <w:tcPr>
            <w:tcW w:w="1134" w:type="dxa"/>
            <w:tcBorders>
              <w:top w:val="nil"/>
              <w:left w:val="single" w:sz="4" w:space="0" w:color="auto"/>
              <w:bottom w:val="single" w:sz="4" w:space="0" w:color="auto"/>
              <w:right w:val="single" w:sz="4" w:space="0" w:color="auto"/>
            </w:tcBorders>
          </w:tcPr>
          <w:p w14:paraId="18780865"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4FE6D89E"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p>
        </w:tc>
        <w:tc>
          <w:tcPr>
            <w:tcW w:w="993" w:type="dxa"/>
            <w:tcBorders>
              <w:top w:val="nil"/>
              <w:left w:val="single" w:sz="4" w:space="0" w:color="auto"/>
              <w:bottom w:val="single" w:sz="4" w:space="0" w:color="auto"/>
              <w:right w:val="single" w:sz="4" w:space="0" w:color="auto"/>
            </w:tcBorders>
            <w:shd w:val="clear" w:color="auto" w:fill="auto"/>
          </w:tcPr>
          <w:p w14:paraId="6610FBA4"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48A8841A" w14:textId="77777777" w:rsidTr="0092405B">
        <w:trPr>
          <w:trHeight w:val="241"/>
        </w:trPr>
        <w:tc>
          <w:tcPr>
            <w:tcW w:w="852" w:type="dxa"/>
            <w:tcBorders>
              <w:top w:val="nil"/>
              <w:left w:val="single" w:sz="4" w:space="0" w:color="000000"/>
              <w:bottom w:val="single" w:sz="4" w:space="0" w:color="000000"/>
              <w:right w:val="single" w:sz="4" w:space="0" w:color="auto"/>
            </w:tcBorders>
            <w:shd w:val="clear" w:color="auto" w:fill="BFBFBF" w:themeFill="background1" w:themeFillShade="BF"/>
          </w:tcPr>
          <w:p w14:paraId="77EC2203"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nil"/>
              <w:left w:val="single" w:sz="4" w:space="0" w:color="auto"/>
              <w:bottom w:val="single" w:sz="4" w:space="0" w:color="000000"/>
              <w:right w:val="single" w:sz="4" w:space="0" w:color="auto"/>
            </w:tcBorders>
            <w:shd w:val="clear" w:color="auto" w:fill="BFBFBF" w:themeFill="background1" w:themeFillShade="BF"/>
          </w:tcPr>
          <w:p w14:paraId="38E1D60F"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Miljö</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4ADDD8C9"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3BD280F8"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15AA7DCB"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59D42977" w14:textId="77777777" w:rsidTr="0092405B">
        <w:trPr>
          <w:trHeight w:val="516"/>
        </w:trPr>
        <w:tc>
          <w:tcPr>
            <w:tcW w:w="852" w:type="dxa"/>
            <w:tcBorders>
              <w:top w:val="nil"/>
              <w:left w:val="single" w:sz="4" w:space="0" w:color="000000"/>
              <w:bottom w:val="single" w:sz="4" w:space="0" w:color="000000"/>
              <w:right w:val="single" w:sz="4" w:space="0" w:color="auto"/>
            </w:tcBorders>
            <w:shd w:val="clear" w:color="000000" w:fill="FCF305"/>
          </w:tcPr>
          <w:p w14:paraId="03E0AB7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G4-EN3</w:t>
            </w:r>
          </w:p>
        </w:tc>
        <w:tc>
          <w:tcPr>
            <w:tcW w:w="4677" w:type="dxa"/>
            <w:tcBorders>
              <w:top w:val="nil"/>
              <w:left w:val="single" w:sz="4" w:space="0" w:color="auto"/>
              <w:bottom w:val="single" w:sz="4" w:space="0" w:color="000000"/>
              <w:right w:val="single" w:sz="4" w:space="0" w:color="auto"/>
            </w:tcBorders>
            <w:shd w:val="clear" w:color="auto" w:fill="auto"/>
          </w:tcPr>
          <w:p w14:paraId="5D1FD6A4"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Direkt energianvändning per primär energikälla.</w:t>
            </w:r>
          </w:p>
          <w:p w14:paraId="297A319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 Indirekt energianvändning per primär energikälla</w:t>
            </w:r>
          </w:p>
        </w:tc>
        <w:tc>
          <w:tcPr>
            <w:tcW w:w="1134" w:type="dxa"/>
            <w:tcBorders>
              <w:top w:val="nil"/>
              <w:left w:val="single" w:sz="4" w:space="0" w:color="auto"/>
              <w:bottom w:val="single" w:sz="4" w:space="0" w:color="auto"/>
              <w:right w:val="single" w:sz="4" w:space="0" w:color="auto"/>
            </w:tcBorders>
          </w:tcPr>
          <w:p w14:paraId="4FCC2EF0"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67318DEB" w14:textId="77777777" w:rsidR="00197D35" w:rsidRPr="00EA6971" w:rsidRDefault="00197D35" w:rsidP="00197D35">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p>
          <w:p w14:paraId="731E5D50" w14:textId="77777777" w:rsidR="00060570" w:rsidRPr="00EA6971" w:rsidRDefault="00197D35" w:rsidP="00197D35">
            <w:pPr>
              <w:spacing w:after="0" w:line="240" w:lineRule="auto"/>
              <w:rPr>
                <w:rFonts w:eastAsia="Times New Roman" w:cs="Arial"/>
                <w:sz w:val="20"/>
                <w:szCs w:val="20"/>
                <w:lang w:eastAsia="sv-SE"/>
              </w:rPr>
            </w:pPr>
            <w:r w:rsidRPr="00EA6971">
              <w:rPr>
                <w:rFonts w:eastAsia="Times New Roman" w:cs="Arial"/>
                <w:sz w:val="20"/>
                <w:szCs w:val="20"/>
                <w:lang w:eastAsia="sv-SE"/>
              </w:rPr>
              <w:t>(Stycke 3.2)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EECA4F"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w:t>
            </w:r>
            <w:r w:rsidRPr="00EA6971">
              <w:rPr>
                <w:rFonts w:eastAsia="Times New Roman" w:cs="Arial"/>
                <w:sz w:val="20"/>
                <w:szCs w:val="20"/>
                <w:lang w:eastAsia="sv-SE"/>
              </w:rPr>
              <w:br/>
              <w:t>6.5.4</w:t>
            </w:r>
          </w:p>
        </w:tc>
      </w:tr>
      <w:tr w:rsidR="00060570" w:rsidRPr="00EA6971" w14:paraId="3CDFBB5A" w14:textId="77777777" w:rsidTr="0092405B">
        <w:trPr>
          <w:trHeight w:val="653"/>
        </w:trPr>
        <w:tc>
          <w:tcPr>
            <w:tcW w:w="852" w:type="dxa"/>
            <w:tcBorders>
              <w:top w:val="nil"/>
              <w:left w:val="single" w:sz="4" w:space="0" w:color="000000"/>
              <w:bottom w:val="single" w:sz="4" w:space="0" w:color="auto"/>
              <w:right w:val="single" w:sz="4" w:space="0" w:color="auto"/>
            </w:tcBorders>
            <w:shd w:val="clear" w:color="000000" w:fill="FCF305"/>
            <w:hideMark/>
          </w:tcPr>
          <w:p w14:paraId="3B47A24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G4-EN4</w:t>
            </w:r>
          </w:p>
        </w:tc>
        <w:tc>
          <w:tcPr>
            <w:tcW w:w="4677" w:type="dxa"/>
            <w:tcBorders>
              <w:top w:val="nil"/>
              <w:left w:val="single" w:sz="4" w:space="0" w:color="auto"/>
              <w:bottom w:val="single" w:sz="4" w:space="0" w:color="auto"/>
              <w:right w:val="single" w:sz="4" w:space="0" w:color="auto"/>
            </w:tcBorders>
            <w:shd w:val="clear" w:color="auto" w:fill="auto"/>
            <w:hideMark/>
          </w:tcPr>
          <w:p w14:paraId="462A6FA4"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Energiförbrukning utanför organisationen.</w:t>
            </w:r>
          </w:p>
        </w:tc>
        <w:tc>
          <w:tcPr>
            <w:tcW w:w="1134" w:type="dxa"/>
            <w:tcBorders>
              <w:top w:val="nil"/>
              <w:left w:val="single" w:sz="4" w:space="0" w:color="auto"/>
              <w:bottom w:val="single" w:sz="4" w:space="0" w:color="auto"/>
              <w:right w:val="single" w:sz="4" w:space="0" w:color="auto"/>
            </w:tcBorders>
          </w:tcPr>
          <w:p w14:paraId="6509B03B"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3FBAB67A"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p>
          <w:p w14:paraId="78F74780"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w:t>
            </w:r>
            <w:r w:rsidR="00060570" w:rsidRPr="00EA6971">
              <w:rPr>
                <w:rFonts w:eastAsia="Times New Roman" w:cs="Arial"/>
                <w:sz w:val="20"/>
                <w:szCs w:val="20"/>
                <w:lang w:eastAsia="sv-SE"/>
              </w:rPr>
              <w:t xml:space="preserve">Stycke </w:t>
            </w:r>
            <w:r w:rsidRPr="00EA6971">
              <w:rPr>
                <w:rFonts w:eastAsia="Times New Roman" w:cs="Arial"/>
                <w:sz w:val="20"/>
                <w:szCs w:val="20"/>
                <w:lang w:eastAsia="sv-SE"/>
              </w:rPr>
              <w:t>3.2)</w:t>
            </w:r>
          </w:p>
        </w:tc>
        <w:tc>
          <w:tcPr>
            <w:tcW w:w="993" w:type="dxa"/>
            <w:tcBorders>
              <w:top w:val="nil"/>
              <w:left w:val="single" w:sz="4" w:space="0" w:color="auto"/>
              <w:bottom w:val="single" w:sz="4" w:space="0" w:color="auto"/>
              <w:right w:val="single" w:sz="4" w:space="0" w:color="auto"/>
            </w:tcBorders>
            <w:shd w:val="clear" w:color="auto" w:fill="auto"/>
          </w:tcPr>
          <w:p w14:paraId="417EE9E5"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3BC9FEAD" w14:textId="77777777" w:rsidTr="0092405B">
        <w:trPr>
          <w:trHeight w:val="944"/>
        </w:trPr>
        <w:tc>
          <w:tcPr>
            <w:tcW w:w="852" w:type="dxa"/>
            <w:tcBorders>
              <w:top w:val="single" w:sz="4" w:space="0" w:color="auto"/>
              <w:left w:val="single" w:sz="4" w:space="0" w:color="000000"/>
              <w:bottom w:val="single" w:sz="4" w:space="0" w:color="000000"/>
              <w:right w:val="single" w:sz="4" w:space="0" w:color="auto"/>
            </w:tcBorders>
            <w:shd w:val="clear" w:color="000000" w:fill="FCF305"/>
            <w:hideMark/>
          </w:tcPr>
          <w:p w14:paraId="6E233845"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G4-EN6</w:t>
            </w:r>
          </w:p>
        </w:tc>
        <w:tc>
          <w:tcPr>
            <w:tcW w:w="4677" w:type="dxa"/>
            <w:tcBorders>
              <w:top w:val="single" w:sz="4" w:space="0" w:color="auto"/>
              <w:left w:val="single" w:sz="4" w:space="0" w:color="auto"/>
              <w:bottom w:val="single" w:sz="4" w:space="0" w:color="000000"/>
              <w:right w:val="single" w:sz="4" w:space="0" w:color="auto"/>
            </w:tcBorders>
            <w:shd w:val="clear" w:color="auto" w:fill="auto"/>
            <w:hideMark/>
          </w:tcPr>
          <w:p w14:paraId="5832A155"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Energibesparingar genom sparande och effektivitetsförbättringar Initiativ för att tillhandahålla energieffektiva produkter eller tjänster samt produkter och tjänster baserade på förnyelsebar energi, samt minskningar av energibehovet som resultat av dessa initiativ</w:t>
            </w:r>
          </w:p>
        </w:tc>
        <w:tc>
          <w:tcPr>
            <w:tcW w:w="1134" w:type="dxa"/>
            <w:tcBorders>
              <w:top w:val="single" w:sz="4" w:space="0" w:color="auto"/>
              <w:left w:val="single" w:sz="4" w:space="0" w:color="auto"/>
              <w:bottom w:val="single" w:sz="4" w:space="0" w:color="auto"/>
              <w:right w:val="single" w:sz="4" w:space="0" w:color="auto"/>
            </w:tcBorders>
          </w:tcPr>
          <w:p w14:paraId="296413D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F5B0B4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CBB41F"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w:t>
            </w:r>
            <w:r w:rsidRPr="00EA6971">
              <w:rPr>
                <w:rFonts w:eastAsia="Times New Roman" w:cs="Arial"/>
                <w:sz w:val="20"/>
                <w:szCs w:val="20"/>
                <w:lang w:eastAsia="sv-SE"/>
              </w:rPr>
              <w:br/>
              <w:t>6.5.4</w:t>
            </w:r>
          </w:p>
        </w:tc>
      </w:tr>
      <w:tr w:rsidR="00060570" w:rsidRPr="00EA6971" w14:paraId="2D658EA0" w14:textId="77777777" w:rsidTr="0092405B">
        <w:trPr>
          <w:trHeight w:val="474"/>
        </w:trPr>
        <w:tc>
          <w:tcPr>
            <w:tcW w:w="852" w:type="dxa"/>
            <w:tcBorders>
              <w:top w:val="nil"/>
              <w:left w:val="single" w:sz="4" w:space="0" w:color="000000"/>
              <w:bottom w:val="single" w:sz="4" w:space="0" w:color="000000"/>
              <w:right w:val="single" w:sz="4" w:space="0" w:color="auto"/>
            </w:tcBorders>
            <w:shd w:val="clear" w:color="000000" w:fill="FCF305"/>
            <w:hideMark/>
          </w:tcPr>
          <w:p w14:paraId="4F3BFE86"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G4-EN8</w:t>
            </w:r>
          </w:p>
        </w:tc>
        <w:tc>
          <w:tcPr>
            <w:tcW w:w="4677" w:type="dxa"/>
            <w:tcBorders>
              <w:top w:val="nil"/>
              <w:left w:val="single" w:sz="4" w:space="0" w:color="auto"/>
              <w:bottom w:val="single" w:sz="4" w:space="0" w:color="000000"/>
              <w:right w:val="single" w:sz="4" w:space="0" w:color="auto"/>
            </w:tcBorders>
            <w:shd w:val="clear" w:color="auto" w:fill="auto"/>
            <w:hideMark/>
          </w:tcPr>
          <w:p w14:paraId="4BA0460D"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Total vattenanvändning per källa</w:t>
            </w:r>
          </w:p>
        </w:tc>
        <w:tc>
          <w:tcPr>
            <w:tcW w:w="1134" w:type="dxa"/>
            <w:tcBorders>
              <w:top w:val="nil"/>
              <w:left w:val="single" w:sz="4" w:space="0" w:color="auto"/>
              <w:bottom w:val="single" w:sz="4" w:space="0" w:color="auto"/>
              <w:right w:val="single" w:sz="4" w:space="0" w:color="auto"/>
            </w:tcBorders>
          </w:tcPr>
          <w:p w14:paraId="5EAC45B9"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11FBC4B8"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2B679A6"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w:t>
            </w:r>
            <w:r w:rsidRPr="00EA6971">
              <w:rPr>
                <w:rFonts w:eastAsia="Times New Roman" w:cs="Arial"/>
                <w:sz w:val="20"/>
                <w:szCs w:val="20"/>
                <w:lang w:eastAsia="sv-SE"/>
              </w:rPr>
              <w:br/>
              <w:t>6.5.4</w:t>
            </w:r>
          </w:p>
        </w:tc>
      </w:tr>
      <w:tr w:rsidR="00060570" w:rsidRPr="00EA6971" w14:paraId="6B431FFF" w14:textId="77777777" w:rsidTr="0092405B">
        <w:trPr>
          <w:trHeight w:val="597"/>
        </w:trPr>
        <w:tc>
          <w:tcPr>
            <w:tcW w:w="852" w:type="dxa"/>
            <w:tcBorders>
              <w:top w:val="nil"/>
              <w:left w:val="single" w:sz="4" w:space="0" w:color="000000"/>
              <w:bottom w:val="single" w:sz="4" w:space="0" w:color="000000"/>
              <w:right w:val="single" w:sz="4" w:space="0" w:color="auto"/>
            </w:tcBorders>
            <w:shd w:val="clear" w:color="000000" w:fill="FCF305"/>
            <w:hideMark/>
          </w:tcPr>
          <w:p w14:paraId="2C1D683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G4-EN10</w:t>
            </w:r>
          </w:p>
        </w:tc>
        <w:tc>
          <w:tcPr>
            <w:tcW w:w="4677" w:type="dxa"/>
            <w:tcBorders>
              <w:top w:val="nil"/>
              <w:left w:val="single" w:sz="4" w:space="0" w:color="auto"/>
              <w:bottom w:val="single" w:sz="4" w:space="0" w:color="000000"/>
              <w:right w:val="single" w:sz="4" w:space="0" w:color="auto"/>
            </w:tcBorders>
            <w:shd w:val="clear" w:color="auto" w:fill="auto"/>
            <w:hideMark/>
          </w:tcPr>
          <w:p w14:paraId="7F34F46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Återvunnen och återanvänd vattenvolym, i totala siffror och i procent av totalt använd volym</w:t>
            </w:r>
          </w:p>
        </w:tc>
        <w:tc>
          <w:tcPr>
            <w:tcW w:w="1134" w:type="dxa"/>
            <w:tcBorders>
              <w:top w:val="nil"/>
              <w:left w:val="single" w:sz="4" w:space="0" w:color="auto"/>
              <w:bottom w:val="single" w:sz="4" w:space="0" w:color="auto"/>
              <w:right w:val="single" w:sz="4" w:space="0" w:color="auto"/>
            </w:tcBorders>
          </w:tcPr>
          <w:p w14:paraId="2D900F9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0AB40D46"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DE6FC"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w:t>
            </w:r>
            <w:r w:rsidRPr="00EA6971">
              <w:rPr>
                <w:rFonts w:eastAsia="Times New Roman" w:cs="Arial"/>
                <w:sz w:val="20"/>
                <w:szCs w:val="20"/>
                <w:lang w:eastAsia="sv-SE"/>
              </w:rPr>
              <w:br/>
              <w:t>6.5.4</w:t>
            </w:r>
          </w:p>
        </w:tc>
      </w:tr>
      <w:tr w:rsidR="00060570" w:rsidRPr="00EA6971" w14:paraId="7C8E1FF4" w14:textId="77777777" w:rsidTr="0092405B">
        <w:trPr>
          <w:trHeight w:val="447"/>
        </w:trPr>
        <w:tc>
          <w:tcPr>
            <w:tcW w:w="852" w:type="dxa"/>
            <w:tcBorders>
              <w:top w:val="nil"/>
              <w:left w:val="single" w:sz="4" w:space="0" w:color="000000"/>
              <w:bottom w:val="single" w:sz="4" w:space="0" w:color="000000"/>
              <w:right w:val="single" w:sz="4" w:space="0" w:color="auto"/>
            </w:tcBorders>
            <w:shd w:val="clear" w:color="000000" w:fill="FCF305"/>
            <w:hideMark/>
          </w:tcPr>
          <w:p w14:paraId="092F5A4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G4-EN16</w:t>
            </w:r>
          </w:p>
        </w:tc>
        <w:tc>
          <w:tcPr>
            <w:tcW w:w="4677" w:type="dxa"/>
            <w:tcBorders>
              <w:top w:val="nil"/>
              <w:left w:val="single" w:sz="4" w:space="0" w:color="auto"/>
              <w:bottom w:val="single" w:sz="4" w:space="0" w:color="000000"/>
              <w:right w:val="single" w:sz="4" w:space="0" w:color="auto"/>
            </w:tcBorders>
            <w:shd w:val="clear" w:color="auto" w:fill="auto"/>
            <w:hideMark/>
          </w:tcPr>
          <w:p w14:paraId="78A7D55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Totala direkta och indirekta utsläpp av växthusgaser, i vikt</w:t>
            </w:r>
          </w:p>
        </w:tc>
        <w:tc>
          <w:tcPr>
            <w:tcW w:w="1134" w:type="dxa"/>
            <w:tcBorders>
              <w:top w:val="nil"/>
              <w:left w:val="single" w:sz="4" w:space="0" w:color="auto"/>
              <w:bottom w:val="single" w:sz="4" w:space="0" w:color="auto"/>
              <w:right w:val="single" w:sz="4" w:space="0" w:color="auto"/>
            </w:tcBorders>
          </w:tcPr>
          <w:p w14:paraId="59B18D74"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0B8C835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8987A07"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w:t>
            </w:r>
            <w:r w:rsidRPr="00EA6971">
              <w:rPr>
                <w:rFonts w:eastAsia="Times New Roman" w:cs="Arial"/>
                <w:sz w:val="20"/>
                <w:szCs w:val="20"/>
                <w:lang w:eastAsia="sv-SE"/>
              </w:rPr>
              <w:br/>
              <w:t>6.5.5</w:t>
            </w:r>
          </w:p>
        </w:tc>
      </w:tr>
      <w:tr w:rsidR="00060570" w:rsidRPr="00EA6971" w14:paraId="0D4FC7AB" w14:textId="77777777" w:rsidTr="0092405B">
        <w:trPr>
          <w:trHeight w:val="511"/>
        </w:trPr>
        <w:tc>
          <w:tcPr>
            <w:tcW w:w="852" w:type="dxa"/>
            <w:tcBorders>
              <w:top w:val="nil"/>
              <w:left w:val="single" w:sz="4" w:space="0" w:color="000000"/>
              <w:bottom w:val="single" w:sz="4" w:space="0" w:color="000000"/>
              <w:right w:val="single" w:sz="4" w:space="0" w:color="auto"/>
            </w:tcBorders>
            <w:shd w:val="clear" w:color="000000" w:fill="FCF305"/>
            <w:hideMark/>
          </w:tcPr>
          <w:p w14:paraId="736CC36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G4-EN17</w:t>
            </w:r>
          </w:p>
        </w:tc>
        <w:tc>
          <w:tcPr>
            <w:tcW w:w="4677" w:type="dxa"/>
            <w:tcBorders>
              <w:top w:val="nil"/>
              <w:left w:val="single" w:sz="4" w:space="0" w:color="auto"/>
              <w:bottom w:val="single" w:sz="4" w:space="0" w:color="000000"/>
              <w:right w:val="single" w:sz="4" w:space="0" w:color="auto"/>
            </w:tcBorders>
            <w:shd w:val="clear" w:color="auto" w:fill="auto"/>
            <w:hideMark/>
          </w:tcPr>
          <w:p w14:paraId="2E925377"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Andra relevanta indirekta utsläpp av växthusgaser, i vikt</w:t>
            </w:r>
          </w:p>
        </w:tc>
        <w:tc>
          <w:tcPr>
            <w:tcW w:w="1134" w:type="dxa"/>
            <w:tcBorders>
              <w:top w:val="nil"/>
              <w:left w:val="single" w:sz="4" w:space="0" w:color="auto"/>
              <w:bottom w:val="single" w:sz="4" w:space="0" w:color="auto"/>
              <w:right w:val="single" w:sz="4" w:space="0" w:color="auto"/>
            </w:tcBorders>
          </w:tcPr>
          <w:p w14:paraId="3E98C37D"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0590624A"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3.2</w:t>
            </w:r>
          </w:p>
        </w:tc>
        <w:tc>
          <w:tcPr>
            <w:tcW w:w="993" w:type="dxa"/>
            <w:tcBorders>
              <w:top w:val="nil"/>
              <w:left w:val="single" w:sz="4" w:space="0" w:color="auto"/>
              <w:bottom w:val="single" w:sz="4" w:space="0" w:color="auto"/>
              <w:right w:val="single" w:sz="4" w:space="0" w:color="auto"/>
            </w:tcBorders>
            <w:shd w:val="clear" w:color="auto" w:fill="auto"/>
            <w:hideMark/>
          </w:tcPr>
          <w:p w14:paraId="0F175620"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w:t>
            </w:r>
            <w:r w:rsidRPr="00EA6971">
              <w:rPr>
                <w:rFonts w:eastAsia="Times New Roman" w:cs="Arial"/>
                <w:sz w:val="20"/>
                <w:szCs w:val="20"/>
                <w:lang w:eastAsia="sv-SE"/>
              </w:rPr>
              <w:br/>
              <w:t>6.5.5</w:t>
            </w:r>
          </w:p>
        </w:tc>
      </w:tr>
      <w:tr w:rsidR="00060570" w:rsidRPr="00EA6971" w14:paraId="7177DF73" w14:textId="77777777" w:rsidTr="0092405B">
        <w:trPr>
          <w:trHeight w:val="644"/>
        </w:trPr>
        <w:tc>
          <w:tcPr>
            <w:tcW w:w="852" w:type="dxa"/>
            <w:tcBorders>
              <w:top w:val="nil"/>
              <w:left w:val="single" w:sz="4" w:space="0" w:color="000000"/>
              <w:bottom w:val="single" w:sz="4" w:space="0" w:color="000000"/>
              <w:right w:val="single" w:sz="4" w:space="0" w:color="auto"/>
            </w:tcBorders>
            <w:shd w:val="clear" w:color="000000" w:fill="FCF305"/>
            <w:hideMark/>
          </w:tcPr>
          <w:p w14:paraId="48ABADE2"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G4-EN27</w:t>
            </w:r>
          </w:p>
        </w:tc>
        <w:tc>
          <w:tcPr>
            <w:tcW w:w="4677" w:type="dxa"/>
            <w:tcBorders>
              <w:top w:val="nil"/>
              <w:left w:val="single" w:sz="4" w:space="0" w:color="auto"/>
              <w:bottom w:val="single" w:sz="4" w:space="0" w:color="000000"/>
              <w:right w:val="single" w:sz="4" w:space="0" w:color="auto"/>
            </w:tcBorders>
            <w:shd w:val="clear" w:color="auto" w:fill="auto"/>
            <w:hideMark/>
          </w:tcPr>
          <w:p w14:paraId="7D3A8AD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Åtgärder för att minska miljöpåverkan från produkter och tjänster, samt resultat härav</w:t>
            </w:r>
          </w:p>
        </w:tc>
        <w:tc>
          <w:tcPr>
            <w:tcW w:w="1134" w:type="dxa"/>
            <w:tcBorders>
              <w:top w:val="nil"/>
              <w:left w:val="single" w:sz="4" w:space="0" w:color="auto"/>
              <w:bottom w:val="single" w:sz="4" w:space="0" w:color="auto"/>
              <w:right w:val="single" w:sz="4" w:space="0" w:color="auto"/>
            </w:tcBorders>
          </w:tcPr>
          <w:p w14:paraId="49EE69B3"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5A59C607"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10ED7C1"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w:t>
            </w:r>
            <w:r w:rsidRPr="00EA6971">
              <w:rPr>
                <w:rFonts w:eastAsia="Times New Roman" w:cs="Arial"/>
                <w:sz w:val="20"/>
                <w:szCs w:val="20"/>
                <w:lang w:eastAsia="sv-SE"/>
              </w:rPr>
              <w:br/>
              <w:t>6.5.5</w:t>
            </w:r>
            <w:r w:rsidRPr="00EA6971">
              <w:rPr>
                <w:rFonts w:eastAsia="Times New Roman" w:cs="Arial"/>
                <w:sz w:val="20"/>
                <w:szCs w:val="20"/>
                <w:lang w:eastAsia="sv-SE"/>
              </w:rPr>
              <w:br/>
              <w:t>6.6.6</w:t>
            </w:r>
            <w:r w:rsidRPr="00EA6971">
              <w:rPr>
                <w:rFonts w:eastAsia="Times New Roman" w:cs="Arial"/>
                <w:sz w:val="20"/>
                <w:szCs w:val="20"/>
                <w:lang w:eastAsia="sv-SE"/>
              </w:rPr>
              <w:br/>
              <w:t>6.7.5</w:t>
            </w:r>
          </w:p>
        </w:tc>
      </w:tr>
      <w:tr w:rsidR="00060570" w:rsidRPr="00EA6971" w14:paraId="65B4EBB8" w14:textId="77777777" w:rsidTr="0092405B">
        <w:trPr>
          <w:trHeight w:val="837"/>
        </w:trPr>
        <w:tc>
          <w:tcPr>
            <w:tcW w:w="852" w:type="dxa"/>
            <w:tcBorders>
              <w:top w:val="nil"/>
              <w:left w:val="single" w:sz="4" w:space="0" w:color="000000"/>
              <w:bottom w:val="single" w:sz="4" w:space="0" w:color="000000"/>
              <w:right w:val="single" w:sz="4" w:space="0" w:color="auto"/>
            </w:tcBorders>
            <w:shd w:val="clear" w:color="000000" w:fill="FCF305"/>
            <w:hideMark/>
          </w:tcPr>
          <w:p w14:paraId="1EC444E7"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G4-EN30</w:t>
            </w:r>
          </w:p>
        </w:tc>
        <w:tc>
          <w:tcPr>
            <w:tcW w:w="4677" w:type="dxa"/>
            <w:tcBorders>
              <w:top w:val="nil"/>
              <w:left w:val="single" w:sz="4" w:space="0" w:color="auto"/>
              <w:bottom w:val="single" w:sz="4" w:space="0" w:color="000000"/>
              <w:right w:val="single" w:sz="4" w:space="0" w:color="auto"/>
            </w:tcBorders>
            <w:shd w:val="clear" w:color="auto" w:fill="auto"/>
            <w:hideMark/>
          </w:tcPr>
          <w:p w14:paraId="6A940AC9"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Väsentlig miljöpåverkan genom transport av produkter och andra varor och material som används i verksamheten, inklusive arbetares arbetsresor/tjänsteresor</w:t>
            </w:r>
          </w:p>
        </w:tc>
        <w:tc>
          <w:tcPr>
            <w:tcW w:w="1134" w:type="dxa"/>
            <w:tcBorders>
              <w:top w:val="nil"/>
              <w:left w:val="single" w:sz="4" w:space="0" w:color="auto"/>
              <w:bottom w:val="single" w:sz="4" w:space="0" w:color="auto"/>
              <w:right w:val="single" w:sz="4" w:space="0" w:color="auto"/>
            </w:tcBorders>
          </w:tcPr>
          <w:p w14:paraId="4C6EBC0D"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4F31224D"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AFDCD2C"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6.5</w:t>
            </w:r>
            <w:r w:rsidRPr="00EA6971">
              <w:rPr>
                <w:rFonts w:eastAsia="Times New Roman" w:cs="Arial"/>
                <w:sz w:val="20"/>
                <w:szCs w:val="20"/>
                <w:lang w:eastAsia="sv-SE"/>
              </w:rPr>
              <w:br/>
              <w:t>6.5.5</w:t>
            </w:r>
            <w:r w:rsidRPr="00EA6971">
              <w:rPr>
                <w:rFonts w:eastAsia="Times New Roman" w:cs="Arial"/>
                <w:sz w:val="20"/>
                <w:szCs w:val="20"/>
                <w:lang w:eastAsia="sv-SE"/>
              </w:rPr>
              <w:br/>
              <w:t>6.6.6</w:t>
            </w:r>
          </w:p>
        </w:tc>
      </w:tr>
      <w:tr w:rsidR="00060570" w:rsidRPr="00EA6971" w14:paraId="01E168B5" w14:textId="77777777" w:rsidTr="0092405B">
        <w:trPr>
          <w:trHeight w:val="233"/>
        </w:trPr>
        <w:tc>
          <w:tcPr>
            <w:tcW w:w="852" w:type="dxa"/>
            <w:tcBorders>
              <w:top w:val="nil"/>
              <w:left w:val="single" w:sz="4" w:space="0" w:color="000000"/>
              <w:bottom w:val="single" w:sz="4" w:space="0" w:color="000000"/>
              <w:right w:val="single" w:sz="4" w:space="0" w:color="auto"/>
            </w:tcBorders>
            <w:shd w:val="clear" w:color="auto" w:fill="BFBFBF" w:themeFill="background1" w:themeFillShade="BF"/>
          </w:tcPr>
          <w:p w14:paraId="68C3F0C5"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nil"/>
              <w:left w:val="single" w:sz="4" w:space="0" w:color="auto"/>
              <w:bottom w:val="single" w:sz="4" w:space="0" w:color="000000"/>
              <w:right w:val="single" w:sz="4" w:space="0" w:color="auto"/>
            </w:tcBorders>
            <w:shd w:val="clear" w:color="auto" w:fill="BFBFBF" w:themeFill="background1" w:themeFillShade="BF"/>
          </w:tcPr>
          <w:p w14:paraId="3FF8AA3B"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Social</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41A76C28"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4EED0263"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817138"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162EBDDA" w14:textId="77777777" w:rsidTr="0092405B">
        <w:trPr>
          <w:trHeight w:val="233"/>
        </w:trPr>
        <w:tc>
          <w:tcPr>
            <w:tcW w:w="852" w:type="dxa"/>
            <w:tcBorders>
              <w:top w:val="nil"/>
              <w:left w:val="single" w:sz="4" w:space="0" w:color="000000"/>
              <w:bottom w:val="single" w:sz="4" w:space="0" w:color="000000"/>
              <w:right w:val="single" w:sz="4" w:space="0" w:color="auto"/>
            </w:tcBorders>
            <w:shd w:val="clear" w:color="auto" w:fill="BFBFBF" w:themeFill="background1" w:themeFillShade="BF"/>
          </w:tcPr>
          <w:p w14:paraId="3F7AA8DE"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nil"/>
              <w:left w:val="single" w:sz="4" w:space="0" w:color="auto"/>
              <w:bottom w:val="single" w:sz="4" w:space="0" w:color="000000"/>
              <w:right w:val="single" w:sz="4" w:space="0" w:color="auto"/>
            </w:tcBorders>
            <w:shd w:val="clear" w:color="auto" w:fill="BFBFBF" w:themeFill="background1" w:themeFillShade="BF"/>
          </w:tcPr>
          <w:p w14:paraId="5FAD2092"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Arbetsvillkor</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0FC75C4E"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6E2CD8F3"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8BE075"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13267993" w14:textId="77777777" w:rsidTr="0092405B">
        <w:trPr>
          <w:trHeight w:val="519"/>
        </w:trPr>
        <w:tc>
          <w:tcPr>
            <w:tcW w:w="852" w:type="dxa"/>
            <w:tcBorders>
              <w:top w:val="nil"/>
              <w:left w:val="single" w:sz="4" w:space="0" w:color="auto"/>
              <w:bottom w:val="single" w:sz="4" w:space="0" w:color="auto"/>
              <w:right w:val="single" w:sz="4" w:space="0" w:color="auto"/>
            </w:tcBorders>
            <w:shd w:val="clear" w:color="000000" w:fill="FCF305"/>
            <w:hideMark/>
          </w:tcPr>
          <w:p w14:paraId="1A360367"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G4-10</w:t>
            </w:r>
          </w:p>
        </w:tc>
        <w:tc>
          <w:tcPr>
            <w:tcW w:w="4677" w:type="dxa"/>
            <w:tcBorders>
              <w:top w:val="nil"/>
              <w:left w:val="single" w:sz="4" w:space="0" w:color="auto"/>
              <w:bottom w:val="single" w:sz="4" w:space="0" w:color="auto"/>
              <w:right w:val="single" w:sz="4" w:space="0" w:color="auto"/>
            </w:tcBorders>
            <w:shd w:val="clear" w:color="auto" w:fill="auto"/>
            <w:hideMark/>
          </w:tcPr>
          <w:p w14:paraId="252D4A88"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Total personalstyrka, uppdelad på anställningsform, anställningsvillkor och region.</w:t>
            </w:r>
          </w:p>
        </w:tc>
        <w:tc>
          <w:tcPr>
            <w:tcW w:w="1134" w:type="dxa"/>
            <w:tcBorders>
              <w:top w:val="nil"/>
              <w:left w:val="single" w:sz="4" w:space="0" w:color="auto"/>
              <w:bottom w:val="single" w:sz="4" w:space="0" w:color="auto"/>
              <w:right w:val="single" w:sz="4" w:space="0" w:color="auto"/>
            </w:tcBorders>
          </w:tcPr>
          <w:p w14:paraId="5590FB27"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35FFE667"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3.3</w:t>
            </w:r>
          </w:p>
        </w:tc>
        <w:tc>
          <w:tcPr>
            <w:tcW w:w="993" w:type="dxa"/>
            <w:tcBorders>
              <w:top w:val="nil"/>
              <w:left w:val="single" w:sz="4" w:space="0" w:color="auto"/>
              <w:bottom w:val="single" w:sz="4" w:space="0" w:color="auto"/>
              <w:right w:val="single" w:sz="4" w:space="0" w:color="auto"/>
            </w:tcBorders>
            <w:shd w:val="clear" w:color="auto" w:fill="auto"/>
            <w:hideMark/>
          </w:tcPr>
          <w:p w14:paraId="3536D217"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6.4</w:t>
            </w:r>
            <w:r w:rsidRPr="00EA6971">
              <w:rPr>
                <w:rFonts w:eastAsia="Times New Roman" w:cs="Arial"/>
                <w:sz w:val="20"/>
                <w:szCs w:val="20"/>
                <w:lang w:eastAsia="sv-SE"/>
              </w:rPr>
              <w:br/>
              <w:t>6.4.3</w:t>
            </w:r>
          </w:p>
        </w:tc>
      </w:tr>
      <w:tr w:rsidR="00060570" w:rsidRPr="00EA6971" w14:paraId="1BA39821" w14:textId="77777777" w:rsidTr="0092405B">
        <w:trPr>
          <w:trHeight w:val="519"/>
        </w:trPr>
        <w:tc>
          <w:tcPr>
            <w:tcW w:w="852" w:type="dxa"/>
            <w:tcBorders>
              <w:top w:val="nil"/>
              <w:left w:val="single" w:sz="4" w:space="0" w:color="auto"/>
              <w:bottom w:val="single" w:sz="4" w:space="0" w:color="auto"/>
              <w:right w:val="single" w:sz="4" w:space="0" w:color="auto"/>
            </w:tcBorders>
            <w:shd w:val="clear" w:color="000000" w:fill="FCF305"/>
          </w:tcPr>
          <w:p w14:paraId="4612BF3D"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G4-11</w:t>
            </w:r>
          </w:p>
        </w:tc>
        <w:tc>
          <w:tcPr>
            <w:tcW w:w="4677" w:type="dxa"/>
            <w:tcBorders>
              <w:top w:val="nil"/>
              <w:left w:val="single" w:sz="4" w:space="0" w:color="auto"/>
              <w:bottom w:val="single" w:sz="4" w:space="0" w:color="auto"/>
              <w:right w:val="single" w:sz="4" w:space="0" w:color="auto"/>
            </w:tcBorders>
            <w:shd w:val="clear" w:color="auto" w:fill="auto"/>
          </w:tcPr>
          <w:p w14:paraId="583F61E6"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Andel anställda anslutna till kollektivavtal i procent.</w:t>
            </w:r>
          </w:p>
        </w:tc>
        <w:tc>
          <w:tcPr>
            <w:tcW w:w="1134" w:type="dxa"/>
            <w:tcBorders>
              <w:top w:val="nil"/>
              <w:left w:val="single" w:sz="4" w:space="0" w:color="auto"/>
              <w:bottom w:val="single" w:sz="4" w:space="0" w:color="auto"/>
              <w:right w:val="single" w:sz="4" w:space="0" w:color="auto"/>
            </w:tcBorders>
          </w:tcPr>
          <w:p w14:paraId="129B8D1F" w14:textId="77777777" w:rsidR="00060570" w:rsidRPr="00EA6971" w:rsidRDefault="00060570" w:rsidP="0092405B">
            <w:pPr>
              <w:spacing w:after="0" w:line="240" w:lineRule="auto"/>
              <w:rPr>
                <w:rFonts w:eastAsia="Times New Roman" w:cs="Arial"/>
                <w:sz w:val="20"/>
                <w:szCs w:val="20"/>
                <w:lang w:eastAsia="sv-SE"/>
              </w:rPr>
            </w:pPr>
            <w:r w:rsidRPr="00EA6971">
              <w:rPr>
                <w:rFonts w:eastAsia="Times New Roman" w:cs="Arial"/>
                <w:sz w:val="20"/>
                <w:szCs w:val="20"/>
                <w:lang w:eastAsia="sv-SE"/>
              </w:rPr>
              <w:t>Ej tillämpligt</w:t>
            </w:r>
            <w:r w:rsidR="0092405B" w:rsidRPr="00EA6971">
              <w:rPr>
                <w:rFonts w:eastAsia="Times New Roman" w:cs="Arial"/>
                <w:sz w:val="20"/>
                <w:szCs w:val="20"/>
                <w:lang w:eastAsia="sv-SE"/>
              </w:rPr>
              <w:t>.</w:t>
            </w:r>
          </w:p>
        </w:tc>
        <w:tc>
          <w:tcPr>
            <w:tcW w:w="1843" w:type="dxa"/>
            <w:tcBorders>
              <w:top w:val="nil"/>
              <w:left w:val="single" w:sz="4" w:space="0" w:color="auto"/>
              <w:bottom w:val="single" w:sz="4" w:space="0" w:color="auto"/>
              <w:right w:val="single" w:sz="4" w:space="0" w:color="auto"/>
            </w:tcBorders>
            <w:shd w:val="clear" w:color="auto" w:fill="auto"/>
          </w:tcPr>
          <w:p w14:paraId="7481AC8F" w14:textId="77777777" w:rsidR="00060570" w:rsidRPr="00EA6971" w:rsidRDefault="0092405B"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Ej tillämpligt enligt svensk lag att som bolag registrera fackligt anslutna.</w:t>
            </w:r>
          </w:p>
        </w:tc>
        <w:tc>
          <w:tcPr>
            <w:tcW w:w="993" w:type="dxa"/>
            <w:tcBorders>
              <w:top w:val="nil"/>
              <w:left w:val="single" w:sz="4" w:space="0" w:color="auto"/>
              <w:bottom w:val="single" w:sz="4" w:space="0" w:color="auto"/>
              <w:right w:val="single" w:sz="4" w:space="0" w:color="auto"/>
            </w:tcBorders>
            <w:shd w:val="clear" w:color="auto" w:fill="auto"/>
          </w:tcPr>
          <w:p w14:paraId="2DC5E309"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17AFFA02" w14:textId="77777777" w:rsidTr="0092405B">
        <w:trPr>
          <w:trHeight w:val="528"/>
        </w:trPr>
        <w:tc>
          <w:tcPr>
            <w:tcW w:w="852" w:type="dxa"/>
            <w:tcBorders>
              <w:top w:val="single" w:sz="4" w:space="0" w:color="auto"/>
              <w:left w:val="single" w:sz="4" w:space="0" w:color="auto"/>
              <w:bottom w:val="single" w:sz="4" w:space="0" w:color="auto"/>
              <w:right w:val="single" w:sz="4" w:space="0" w:color="auto"/>
            </w:tcBorders>
            <w:shd w:val="clear" w:color="000000" w:fill="FCF305"/>
            <w:hideMark/>
          </w:tcPr>
          <w:p w14:paraId="6E0FE4E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G4-LA1</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72CC8319"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Totalt antal anställda som slutat och personalomsättning, per åldersgrupp, kön och region.</w:t>
            </w:r>
          </w:p>
        </w:tc>
        <w:tc>
          <w:tcPr>
            <w:tcW w:w="1134" w:type="dxa"/>
            <w:tcBorders>
              <w:top w:val="single" w:sz="4" w:space="0" w:color="auto"/>
              <w:left w:val="single" w:sz="4" w:space="0" w:color="auto"/>
              <w:bottom w:val="single" w:sz="4" w:space="0" w:color="auto"/>
              <w:right w:val="single" w:sz="4" w:space="0" w:color="auto"/>
            </w:tcBorders>
          </w:tcPr>
          <w:p w14:paraId="2ACE3D8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51C6AF2"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E3F9124"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6.4</w:t>
            </w:r>
            <w:r w:rsidRPr="00EA6971">
              <w:rPr>
                <w:rFonts w:eastAsia="Times New Roman" w:cs="Arial"/>
                <w:sz w:val="20"/>
                <w:szCs w:val="20"/>
                <w:lang w:eastAsia="sv-SE"/>
              </w:rPr>
              <w:br/>
              <w:t>6.4.3</w:t>
            </w:r>
          </w:p>
        </w:tc>
      </w:tr>
      <w:tr w:rsidR="00060570" w:rsidRPr="00EA6971" w14:paraId="6C6A6223" w14:textId="77777777" w:rsidTr="0092405B">
        <w:trPr>
          <w:trHeight w:val="753"/>
        </w:trPr>
        <w:tc>
          <w:tcPr>
            <w:tcW w:w="852" w:type="dxa"/>
            <w:tcBorders>
              <w:top w:val="nil"/>
              <w:left w:val="single" w:sz="4" w:space="0" w:color="auto"/>
              <w:bottom w:val="single" w:sz="4" w:space="0" w:color="auto"/>
              <w:right w:val="single" w:sz="4" w:space="0" w:color="auto"/>
            </w:tcBorders>
            <w:shd w:val="clear" w:color="000000" w:fill="FCF305"/>
            <w:hideMark/>
          </w:tcPr>
          <w:p w14:paraId="5516CFC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G4-LA6</w:t>
            </w:r>
          </w:p>
        </w:tc>
        <w:tc>
          <w:tcPr>
            <w:tcW w:w="4677" w:type="dxa"/>
            <w:tcBorders>
              <w:top w:val="nil"/>
              <w:left w:val="single" w:sz="4" w:space="0" w:color="auto"/>
              <w:bottom w:val="single" w:sz="4" w:space="0" w:color="auto"/>
              <w:right w:val="single" w:sz="4" w:space="0" w:color="auto"/>
            </w:tcBorders>
            <w:shd w:val="clear" w:color="auto" w:fill="auto"/>
            <w:hideMark/>
          </w:tcPr>
          <w:p w14:paraId="672EEAB3"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Omfattningen av skador, arbetsrelaterade sjukdomar, förlorade arbetsdagar, frånvaro samt totala antalet arbetsrelaterade dödsolyckor per region.</w:t>
            </w:r>
          </w:p>
        </w:tc>
        <w:tc>
          <w:tcPr>
            <w:tcW w:w="1134" w:type="dxa"/>
            <w:tcBorders>
              <w:top w:val="nil"/>
              <w:left w:val="single" w:sz="4" w:space="0" w:color="auto"/>
              <w:bottom w:val="single" w:sz="4" w:space="0" w:color="auto"/>
              <w:right w:val="single" w:sz="4" w:space="0" w:color="auto"/>
            </w:tcBorders>
          </w:tcPr>
          <w:p w14:paraId="0DEEBF34"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1B29F02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2EDEB58"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6.4</w:t>
            </w:r>
            <w:r w:rsidRPr="00EA6971">
              <w:rPr>
                <w:rFonts w:eastAsia="Times New Roman" w:cs="Arial"/>
                <w:sz w:val="20"/>
                <w:szCs w:val="20"/>
                <w:lang w:eastAsia="sv-SE"/>
              </w:rPr>
              <w:br/>
              <w:t>6.4.6</w:t>
            </w:r>
          </w:p>
        </w:tc>
      </w:tr>
      <w:tr w:rsidR="00060570" w:rsidRPr="00EA6971" w14:paraId="5B547E3B" w14:textId="77777777" w:rsidTr="0092405B">
        <w:trPr>
          <w:trHeight w:val="483"/>
        </w:trPr>
        <w:tc>
          <w:tcPr>
            <w:tcW w:w="852" w:type="dxa"/>
            <w:tcBorders>
              <w:top w:val="single" w:sz="4" w:space="0" w:color="auto"/>
              <w:left w:val="single" w:sz="4" w:space="0" w:color="auto"/>
              <w:bottom w:val="single" w:sz="4" w:space="0" w:color="auto"/>
              <w:right w:val="single" w:sz="4" w:space="0" w:color="auto"/>
            </w:tcBorders>
            <w:shd w:val="clear" w:color="000000" w:fill="FCF305"/>
            <w:hideMark/>
          </w:tcPr>
          <w:p w14:paraId="4843CA62"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G4-LA9</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6BB7DA34"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Genomsnittligt antal tränings- och utbildningstimmar per anställd och år, fördelat på personalkategorier.</w:t>
            </w:r>
          </w:p>
        </w:tc>
        <w:tc>
          <w:tcPr>
            <w:tcW w:w="1134" w:type="dxa"/>
            <w:tcBorders>
              <w:top w:val="single" w:sz="4" w:space="0" w:color="auto"/>
              <w:left w:val="single" w:sz="4" w:space="0" w:color="auto"/>
              <w:bottom w:val="single" w:sz="4" w:space="0" w:color="auto"/>
              <w:right w:val="single" w:sz="4" w:space="0" w:color="auto"/>
            </w:tcBorders>
          </w:tcPr>
          <w:p w14:paraId="073AFD79"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1AB2B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4480E2D"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6.4</w:t>
            </w:r>
            <w:r w:rsidRPr="00EA6971">
              <w:rPr>
                <w:rFonts w:eastAsia="Times New Roman" w:cs="Arial"/>
                <w:sz w:val="20"/>
                <w:szCs w:val="20"/>
                <w:lang w:eastAsia="sv-SE"/>
              </w:rPr>
              <w:br/>
              <w:t>6.4.7</w:t>
            </w:r>
          </w:p>
        </w:tc>
      </w:tr>
      <w:tr w:rsidR="00060570" w:rsidRPr="00EA6971" w14:paraId="6FAEA814" w14:textId="77777777" w:rsidTr="0092405B">
        <w:trPr>
          <w:trHeight w:val="483"/>
        </w:trPr>
        <w:tc>
          <w:tcPr>
            <w:tcW w:w="852" w:type="dxa"/>
            <w:tcBorders>
              <w:top w:val="single" w:sz="4" w:space="0" w:color="auto"/>
              <w:left w:val="single" w:sz="4" w:space="0" w:color="auto"/>
              <w:bottom w:val="single" w:sz="4" w:space="0" w:color="auto"/>
              <w:right w:val="single" w:sz="4" w:space="0" w:color="auto"/>
            </w:tcBorders>
            <w:shd w:val="clear" w:color="000000" w:fill="FCF305"/>
          </w:tcPr>
          <w:p w14:paraId="537B8BE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G4-LA12</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5B20689"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Könsfördelning på arbetsplatsen</w:t>
            </w:r>
          </w:p>
        </w:tc>
        <w:tc>
          <w:tcPr>
            <w:tcW w:w="1134" w:type="dxa"/>
            <w:tcBorders>
              <w:top w:val="single" w:sz="4" w:space="0" w:color="auto"/>
              <w:left w:val="single" w:sz="4" w:space="0" w:color="auto"/>
              <w:bottom w:val="single" w:sz="4" w:space="0" w:color="auto"/>
              <w:right w:val="single" w:sz="4" w:space="0" w:color="auto"/>
            </w:tcBorders>
          </w:tcPr>
          <w:p w14:paraId="59B1A0C4"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7167BB" w14:textId="77777777" w:rsidR="00060570" w:rsidRPr="00EA6971" w:rsidRDefault="00197D35"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A53352"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1767FCB8" w14:textId="77777777" w:rsidTr="0092405B">
        <w:trPr>
          <w:trHeight w:val="199"/>
        </w:trPr>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2F88F"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B65200"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Mänskliga rättigheter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4B1DA"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D7C897"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37453D"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7C65598E" w14:textId="77777777" w:rsidTr="0092405B">
        <w:trPr>
          <w:trHeight w:val="796"/>
        </w:trPr>
        <w:tc>
          <w:tcPr>
            <w:tcW w:w="852" w:type="dxa"/>
            <w:tcBorders>
              <w:top w:val="single" w:sz="4" w:space="0" w:color="auto"/>
              <w:left w:val="single" w:sz="4" w:space="0" w:color="auto"/>
              <w:bottom w:val="single" w:sz="4" w:space="0" w:color="auto"/>
              <w:right w:val="single" w:sz="4" w:space="0" w:color="auto"/>
            </w:tcBorders>
            <w:shd w:val="clear" w:color="000000" w:fill="FCF305"/>
            <w:hideMark/>
          </w:tcPr>
          <w:p w14:paraId="0B56E43B"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G4-HR3</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1F7E668E"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Antal fall av diskriminering, samt vidtagna åtgärder</w:t>
            </w:r>
          </w:p>
        </w:tc>
        <w:tc>
          <w:tcPr>
            <w:tcW w:w="1134" w:type="dxa"/>
            <w:tcBorders>
              <w:top w:val="single" w:sz="4" w:space="0" w:color="auto"/>
              <w:left w:val="single" w:sz="4" w:space="0" w:color="auto"/>
              <w:bottom w:val="single" w:sz="4" w:space="0" w:color="auto"/>
              <w:right w:val="single" w:sz="4" w:space="0" w:color="auto"/>
            </w:tcBorders>
          </w:tcPr>
          <w:p w14:paraId="4F311520"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90447AA" w14:textId="77777777" w:rsidR="00060570" w:rsidRPr="00EA6971" w:rsidRDefault="0092405B"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43E12D6"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6.3</w:t>
            </w:r>
            <w:r w:rsidRPr="00EA6971">
              <w:rPr>
                <w:rFonts w:eastAsia="Times New Roman" w:cs="Arial"/>
                <w:sz w:val="20"/>
                <w:szCs w:val="20"/>
                <w:lang w:eastAsia="sv-SE"/>
              </w:rPr>
              <w:br/>
              <w:t>6.3.6</w:t>
            </w:r>
            <w:r w:rsidRPr="00EA6971">
              <w:rPr>
                <w:rFonts w:eastAsia="Times New Roman" w:cs="Arial"/>
                <w:sz w:val="20"/>
                <w:szCs w:val="20"/>
                <w:lang w:eastAsia="sv-SE"/>
              </w:rPr>
              <w:br/>
              <w:t>6.3.7</w:t>
            </w:r>
            <w:r w:rsidRPr="00EA6971">
              <w:rPr>
                <w:rFonts w:eastAsia="Times New Roman" w:cs="Arial"/>
                <w:sz w:val="20"/>
                <w:szCs w:val="20"/>
                <w:lang w:eastAsia="sv-SE"/>
              </w:rPr>
              <w:br/>
              <w:t>6.3.10</w:t>
            </w:r>
            <w:r w:rsidRPr="00EA6971">
              <w:rPr>
                <w:rFonts w:eastAsia="Times New Roman" w:cs="Arial"/>
                <w:sz w:val="20"/>
                <w:szCs w:val="20"/>
                <w:lang w:eastAsia="sv-SE"/>
              </w:rPr>
              <w:br/>
              <w:t>6.4.3</w:t>
            </w:r>
          </w:p>
        </w:tc>
      </w:tr>
      <w:tr w:rsidR="00060570" w:rsidRPr="00EA6971" w14:paraId="1FE9ADD0" w14:textId="77777777" w:rsidTr="008F007E">
        <w:trPr>
          <w:trHeight w:val="1279"/>
        </w:trPr>
        <w:tc>
          <w:tcPr>
            <w:tcW w:w="852" w:type="dxa"/>
            <w:tcBorders>
              <w:top w:val="nil"/>
              <w:left w:val="single" w:sz="4" w:space="0" w:color="auto"/>
              <w:bottom w:val="single" w:sz="4" w:space="0" w:color="auto"/>
              <w:right w:val="single" w:sz="4" w:space="0" w:color="auto"/>
            </w:tcBorders>
            <w:shd w:val="clear" w:color="000000" w:fill="FCF305"/>
            <w:hideMark/>
          </w:tcPr>
          <w:p w14:paraId="5729972B"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G4-HR4</w:t>
            </w:r>
          </w:p>
        </w:tc>
        <w:tc>
          <w:tcPr>
            <w:tcW w:w="4677" w:type="dxa"/>
            <w:tcBorders>
              <w:top w:val="nil"/>
              <w:left w:val="single" w:sz="4" w:space="0" w:color="auto"/>
              <w:bottom w:val="single" w:sz="4" w:space="0" w:color="auto"/>
              <w:right w:val="single" w:sz="4" w:space="0" w:color="auto"/>
            </w:tcBorders>
            <w:shd w:val="clear" w:color="auto" w:fill="auto"/>
            <w:hideMark/>
          </w:tcPr>
          <w:p w14:paraId="71992CC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Identifierade verksamheter där föreningsfriheten och rätten till kollektivavtal kan vara väsentligt hotade och åtgärder som vidtagits för att stödja dessa rättigheter</w:t>
            </w:r>
          </w:p>
        </w:tc>
        <w:tc>
          <w:tcPr>
            <w:tcW w:w="1134" w:type="dxa"/>
            <w:tcBorders>
              <w:top w:val="nil"/>
              <w:left w:val="single" w:sz="4" w:space="0" w:color="auto"/>
              <w:bottom w:val="single" w:sz="4" w:space="0" w:color="auto"/>
              <w:right w:val="single" w:sz="4" w:space="0" w:color="auto"/>
            </w:tcBorders>
          </w:tcPr>
          <w:p w14:paraId="1C56C3AE"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479D9C7D" w14:textId="77777777" w:rsidR="00060570" w:rsidRPr="00EA6971" w:rsidRDefault="0092405B"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p>
        </w:tc>
        <w:tc>
          <w:tcPr>
            <w:tcW w:w="993" w:type="dxa"/>
            <w:tcBorders>
              <w:top w:val="nil"/>
              <w:left w:val="single" w:sz="4" w:space="0" w:color="auto"/>
              <w:bottom w:val="single" w:sz="4" w:space="0" w:color="auto"/>
              <w:right w:val="single" w:sz="4" w:space="0" w:color="auto"/>
            </w:tcBorders>
            <w:shd w:val="clear" w:color="auto" w:fill="auto"/>
            <w:hideMark/>
          </w:tcPr>
          <w:p w14:paraId="04893CAF"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6.3</w:t>
            </w:r>
            <w:r w:rsidRPr="00EA6971">
              <w:rPr>
                <w:rFonts w:eastAsia="Times New Roman" w:cs="Arial"/>
                <w:sz w:val="20"/>
                <w:szCs w:val="20"/>
                <w:lang w:eastAsia="sv-SE"/>
              </w:rPr>
              <w:br/>
              <w:t>6.3.3</w:t>
            </w:r>
            <w:r w:rsidRPr="00EA6971">
              <w:rPr>
                <w:rFonts w:eastAsia="Times New Roman" w:cs="Arial"/>
                <w:sz w:val="20"/>
                <w:szCs w:val="20"/>
                <w:lang w:eastAsia="sv-SE"/>
              </w:rPr>
              <w:br/>
              <w:t>6.3.4</w:t>
            </w:r>
            <w:r w:rsidRPr="00EA6971">
              <w:rPr>
                <w:rFonts w:eastAsia="Times New Roman" w:cs="Arial"/>
                <w:sz w:val="20"/>
                <w:szCs w:val="20"/>
                <w:lang w:eastAsia="sv-SE"/>
              </w:rPr>
              <w:br/>
              <w:t>6.3.5</w:t>
            </w:r>
            <w:r w:rsidRPr="00EA6971">
              <w:rPr>
                <w:rFonts w:eastAsia="Times New Roman" w:cs="Arial"/>
                <w:sz w:val="20"/>
                <w:szCs w:val="20"/>
                <w:lang w:eastAsia="sv-SE"/>
              </w:rPr>
              <w:br/>
              <w:t>6.3.8</w:t>
            </w:r>
            <w:r w:rsidRPr="00EA6971">
              <w:rPr>
                <w:rFonts w:eastAsia="Times New Roman" w:cs="Arial"/>
                <w:sz w:val="20"/>
                <w:szCs w:val="20"/>
                <w:lang w:eastAsia="sv-SE"/>
              </w:rPr>
              <w:br/>
              <w:t>6.3.10</w:t>
            </w:r>
            <w:r w:rsidRPr="00EA6971">
              <w:rPr>
                <w:rFonts w:eastAsia="Times New Roman" w:cs="Arial"/>
                <w:sz w:val="20"/>
                <w:szCs w:val="20"/>
                <w:lang w:eastAsia="sv-SE"/>
              </w:rPr>
              <w:br/>
              <w:t>6.4.3</w:t>
            </w:r>
            <w:r w:rsidRPr="00EA6971">
              <w:rPr>
                <w:rFonts w:eastAsia="Times New Roman" w:cs="Arial"/>
                <w:sz w:val="20"/>
                <w:szCs w:val="20"/>
                <w:lang w:eastAsia="sv-SE"/>
              </w:rPr>
              <w:br/>
              <w:t>6.4.5</w:t>
            </w:r>
          </w:p>
        </w:tc>
      </w:tr>
      <w:tr w:rsidR="00060570" w:rsidRPr="00EA6971" w14:paraId="1199135A" w14:textId="77777777" w:rsidTr="008F007E">
        <w:trPr>
          <w:trHeight w:val="1467"/>
        </w:trPr>
        <w:tc>
          <w:tcPr>
            <w:tcW w:w="852" w:type="dxa"/>
            <w:tcBorders>
              <w:top w:val="single" w:sz="4" w:space="0" w:color="auto"/>
              <w:left w:val="single" w:sz="4" w:space="0" w:color="auto"/>
              <w:bottom w:val="single" w:sz="4" w:space="0" w:color="auto"/>
              <w:right w:val="single" w:sz="4" w:space="0" w:color="auto"/>
            </w:tcBorders>
            <w:shd w:val="clear" w:color="000000" w:fill="FCF305"/>
            <w:hideMark/>
          </w:tcPr>
          <w:p w14:paraId="62BDCCCB"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G4-HR5</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666657C"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Identifierade verksamheter där det finns väsentlig risk för barnarbete och åtgärder som vidtagits för att bidra till avskaffandet av barnarbete</w:t>
            </w:r>
          </w:p>
        </w:tc>
        <w:tc>
          <w:tcPr>
            <w:tcW w:w="1134" w:type="dxa"/>
            <w:tcBorders>
              <w:top w:val="single" w:sz="4" w:space="0" w:color="auto"/>
              <w:left w:val="single" w:sz="4" w:space="0" w:color="auto"/>
              <w:bottom w:val="single" w:sz="4" w:space="0" w:color="auto"/>
              <w:right w:val="single" w:sz="4" w:space="0" w:color="auto"/>
            </w:tcBorders>
          </w:tcPr>
          <w:p w14:paraId="41500270"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57A6BF6" w14:textId="77777777" w:rsidR="00060570" w:rsidRPr="00EA6971" w:rsidRDefault="0092405B"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8C9E13"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6.3</w:t>
            </w:r>
            <w:r w:rsidRPr="00EA6971">
              <w:rPr>
                <w:rFonts w:eastAsia="Times New Roman" w:cs="Arial"/>
                <w:sz w:val="20"/>
                <w:szCs w:val="20"/>
                <w:lang w:eastAsia="sv-SE"/>
              </w:rPr>
              <w:br/>
              <w:t>6.3.3</w:t>
            </w:r>
            <w:r w:rsidRPr="00EA6971">
              <w:rPr>
                <w:rFonts w:eastAsia="Times New Roman" w:cs="Arial"/>
                <w:sz w:val="20"/>
                <w:szCs w:val="20"/>
                <w:lang w:eastAsia="sv-SE"/>
              </w:rPr>
              <w:br/>
              <w:t>6.3.4</w:t>
            </w:r>
            <w:r w:rsidRPr="00EA6971">
              <w:rPr>
                <w:rFonts w:eastAsia="Times New Roman" w:cs="Arial"/>
                <w:sz w:val="20"/>
                <w:szCs w:val="20"/>
                <w:lang w:eastAsia="sv-SE"/>
              </w:rPr>
              <w:br/>
              <w:t>6.3.5</w:t>
            </w:r>
            <w:r w:rsidRPr="00EA6971">
              <w:rPr>
                <w:rFonts w:eastAsia="Times New Roman" w:cs="Arial"/>
                <w:sz w:val="20"/>
                <w:szCs w:val="20"/>
                <w:lang w:eastAsia="sv-SE"/>
              </w:rPr>
              <w:br/>
              <w:t>6.3.7</w:t>
            </w:r>
            <w:r w:rsidRPr="00EA6971">
              <w:rPr>
                <w:rFonts w:eastAsia="Times New Roman" w:cs="Arial"/>
                <w:sz w:val="20"/>
                <w:szCs w:val="20"/>
                <w:lang w:eastAsia="sv-SE"/>
              </w:rPr>
              <w:br/>
              <w:t>6.3.10</w:t>
            </w:r>
          </w:p>
        </w:tc>
      </w:tr>
      <w:tr w:rsidR="00060570" w:rsidRPr="00EA6971" w14:paraId="6CC0C7AE" w14:textId="77777777" w:rsidTr="0092405B">
        <w:trPr>
          <w:trHeight w:val="1002"/>
        </w:trPr>
        <w:tc>
          <w:tcPr>
            <w:tcW w:w="852" w:type="dxa"/>
            <w:tcBorders>
              <w:top w:val="nil"/>
              <w:left w:val="single" w:sz="4" w:space="0" w:color="auto"/>
              <w:bottom w:val="single" w:sz="4" w:space="0" w:color="auto"/>
              <w:right w:val="single" w:sz="4" w:space="0" w:color="auto"/>
            </w:tcBorders>
            <w:shd w:val="clear" w:color="000000" w:fill="FCF305"/>
            <w:hideMark/>
          </w:tcPr>
          <w:p w14:paraId="38880C02"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G4-HR6</w:t>
            </w:r>
          </w:p>
        </w:tc>
        <w:tc>
          <w:tcPr>
            <w:tcW w:w="4677" w:type="dxa"/>
            <w:tcBorders>
              <w:top w:val="nil"/>
              <w:left w:val="single" w:sz="4" w:space="0" w:color="auto"/>
              <w:bottom w:val="single" w:sz="4" w:space="0" w:color="auto"/>
              <w:right w:val="single" w:sz="4" w:space="0" w:color="auto"/>
            </w:tcBorders>
            <w:shd w:val="clear" w:color="auto" w:fill="auto"/>
            <w:hideMark/>
          </w:tcPr>
          <w:p w14:paraId="564177ED"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Identifierade verksamheter där det finns väsentlig risk för tvångsarbete och obligatoriskt arbete, och åtgärder som vidtagits för att bidra till avskaffandet av tvångsarbete och obligatoriskt arbete</w:t>
            </w:r>
          </w:p>
        </w:tc>
        <w:tc>
          <w:tcPr>
            <w:tcW w:w="1134" w:type="dxa"/>
            <w:tcBorders>
              <w:top w:val="nil"/>
              <w:left w:val="single" w:sz="4" w:space="0" w:color="auto"/>
              <w:bottom w:val="single" w:sz="4" w:space="0" w:color="auto"/>
              <w:right w:val="single" w:sz="4" w:space="0" w:color="auto"/>
            </w:tcBorders>
          </w:tcPr>
          <w:p w14:paraId="28A298B7"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tcPr>
          <w:p w14:paraId="00C96140" w14:textId="77777777" w:rsidR="00060570" w:rsidRPr="00EA6971" w:rsidRDefault="0092405B"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p>
        </w:tc>
        <w:tc>
          <w:tcPr>
            <w:tcW w:w="993" w:type="dxa"/>
            <w:tcBorders>
              <w:top w:val="nil"/>
              <w:left w:val="single" w:sz="4" w:space="0" w:color="auto"/>
              <w:bottom w:val="single" w:sz="4" w:space="0" w:color="auto"/>
              <w:right w:val="single" w:sz="4" w:space="0" w:color="auto"/>
            </w:tcBorders>
            <w:shd w:val="clear" w:color="auto" w:fill="auto"/>
            <w:hideMark/>
          </w:tcPr>
          <w:p w14:paraId="48A493A4"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6.3</w:t>
            </w:r>
            <w:r w:rsidRPr="00EA6971">
              <w:rPr>
                <w:rFonts w:eastAsia="Times New Roman" w:cs="Arial"/>
                <w:sz w:val="20"/>
                <w:szCs w:val="20"/>
                <w:lang w:eastAsia="sv-SE"/>
              </w:rPr>
              <w:br/>
              <w:t>6.3.3</w:t>
            </w:r>
            <w:r w:rsidRPr="00EA6971">
              <w:rPr>
                <w:rFonts w:eastAsia="Times New Roman" w:cs="Arial"/>
                <w:sz w:val="20"/>
                <w:szCs w:val="20"/>
                <w:lang w:eastAsia="sv-SE"/>
              </w:rPr>
              <w:br/>
              <w:t>6.3.4</w:t>
            </w:r>
            <w:r w:rsidRPr="00EA6971">
              <w:rPr>
                <w:rFonts w:eastAsia="Times New Roman" w:cs="Arial"/>
                <w:sz w:val="20"/>
                <w:szCs w:val="20"/>
                <w:lang w:eastAsia="sv-SE"/>
              </w:rPr>
              <w:br/>
              <w:t>6.3.5</w:t>
            </w:r>
            <w:r w:rsidRPr="00EA6971">
              <w:rPr>
                <w:rFonts w:eastAsia="Times New Roman" w:cs="Arial"/>
                <w:sz w:val="20"/>
                <w:szCs w:val="20"/>
                <w:lang w:eastAsia="sv-SE"/>
              </w:rPr>
              <w:br/>
              <w:t>6.3.7</w:t>
            </w:r>
            <w:r w:rsidRPr="00EA6971">
              <w:rPr>
                <w:rFonts w:eastAsia="Times New Roman" w:cs="Arial"/>
                <w:sz w:val="20"/>
                <w:szCs w:val="20"/>
                <w:lang w:eastAsia="sv-SE"/>
              </w:rPr>
              <w:br/>
              <w:t>6.3.10</w:t>
            </w:r>
          </w:p>
        </w:tc>
      </w:tr>
      <w:tr w:rsidR="00060570" w:rsidRPr="00EA6971" w14:paraId="26CFD05D" w14:textId="77777777" w:rsidTr="0092405B">
        <w:trPr>
          <w:trHeight w:val="243"/>
        </w:trPr>
        <w:tc>
          <w:tcPr>
            <w:tcW w:w="852" w:type="dxa"/>
            <w:tcBorders>
              <w:top w:val="nil"/>
              <w:left w:val="single" w:sz="4" w:space="0" w:color="auto"/>
              <w:bottom w:val="single" w:sz="4" w:space="0" w:color="auto"/>
              <w:right w:val="single" w:sz="4" w:space="0" w:color="auto"/>
            </w:tcBorders>
            <w:shd w:val="clear" w:color="auto" w:fill="BFBFBF" w:themeFill="background1" w:themeFillShade="BF"/>
          </w:tcPr>
          <w:p w14:paraId="3AB93FFE"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nil"/>
              <w:left w:val="single" w:sz="4" w:space="0" w:color="auto"/>
              <w:bottom w:val="single" w:sz="4" w:space="0" w:color="auto"/>
              <w:right w:val="single" w:sz="4" w:space="0" w:color="auto"/>
            </w:tcBorders>
            <w:shd w:val="clear" w:color="auto" w:fill="BFBFBF" w:themeFill="background1" w:themeFillShade="BF"/>
          </w:tcPr>
          <w:p w14:paraId="6FD8CEC2"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Samhälle</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6B80E05C"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4A2C1B3D"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191DC9B4"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3865BE16" w14:textId="77777777" w:rsidTr="0092405B">
        <w:trPr>
          <w:trHeight w:val="957"/>
        </w:trPr>
        <w:tc>
          <w:tcPr>
            <w:tcW w:w="852" w:type="dxa"/>
            <w:tcBorders>
              <w:top w:val="nil"/>
              <w:left w:val="single" w:sz="4" w:space="0" w:color="auto"/>
              <w:bottom w:val="single" w:sz="4" w:space="0" w:color="auto"/>
              <w:right w:val="single" w:sz="4" w:space="0" w:color="auto"/>
            </w:tcBorders>
            <w:shd w:val="clear" w:color="000000" w:fill="FCF305"/>
            <w:hideMark/>
          </w:tcPr>
          <w:p w14:paraId="0D794EB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G4-SO7</w:t>
            </w:r>
          </w:p>
        </w:tc>
        <w:tc>
          <w:tcPr>
            <w:tcW w:w="4677" w:type="dxa"/>
            <w:tcBorders>
              <w:top w:val="nil"/>
              <w:left w:val="single" w:sz="4" w:space="0" w:color="auto"/>
              <w:bottom w:val="single" w:sz="4" w:space="0" w:color="auto"/>
              <w:right w:val="single" w:sz="4" w:space="0" w:color="auto"/>
            </w:tcBorders>
            <w:shd w:val="clear" w:color="auto" w:fill="auto"/>
            <w:hideMark/>
          </w:tcPr>
          <w:p w14:paraId="01CC73AF"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Totalt antal juridiska åtgärder som vidtagits mot organisationer för konkurrensfientligt beteende, överträdelse i konkurrenslagstiftning och monopolitiska rutiner samt deras utfall</w:t>
            </w:r>
          </w:p>
        </w:tc>
        <w:tc>
          <w:tcPr>
            <w:tcW w:w="1134" w:type="dxa"/>
            <w:tcBorders>
              <w:top w:val="nil"/>
              <w:left w:val="single" w:sz="4" w:space="0" w:color="auto"/>
              <w:bottom w:val="single" w:sz="4" w:space="0" w:color="auto"/>
              <w:right w:val="single" w:sz="4" w:space="0" w:color="auto"/>
            </w:tcBorders>
          </w:tcPr>
          <w:p w14:paraId="1B7EA777"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nil"/>
              <w:left w:val="single" w:sz="4" w:space="0" w:color="auto"/>
              <w:bottom w:val="single" w:sz="4" w:space="0" w:color="auto"/>
              <w:right w:val="single" w:sz="4" w:space="0" w:color="auto"/>
            </w:tcBorders>
            <w:shd w:val="clear" w:color="auto" w:fill="auto"/>
            <w:hideMark/>
          </w:tcPr>
          <w:p w14:paraId="64EB3E1F" w14:textId="77777777" w:rsidR="00060570" w:rsidRPr="00EA6971" w:rsidRDefault="0092405B"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FBB1D74"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6.6</w:t>
            </w:r>
            <w:r w:rsidRPr="00EA6971">
              <w:rPr>
                <w:rFonts w:eastAsia="Times New Roman" w:cs="Arial"/>
                <w:sz w:val="20"/>
                <w:szCs w:val="20"/>
                <w:lang w:eastAsia="sv-SE"/>
              </w:rPr>
              <w:br/>
              <w:t>6.6.5</w:t>
            </w:r>
            <w:r w:rsidRPr="00EA6971">
              <w:rPr>
                <w:rFonts w:eastAsia="Times New Roman" w:cs="Arial"/>
                <w:sz w:val="20"/>
                <w:szCs w:val="20"/>
                <w:lang w:eastAsia="sv-SE"/>
              </w:rPr>
              <w:br/>
              <w:t>6.6.7</w:t>
            </w:r>
          </w:p>
        </w:tc>
      </w:tr>
      <w:tr w:rsidR="00060570" w:rsidRPr="00EA6971" w14:paraId="7CC1268B" w14:textId="77777777" w:rsidTr="0092405B">
        <w:trPr>
          <w:trHeight w:val="769"/>
        </w:trPr>
        <w:tc>
          <w:tcPr>
            <w:tcW w:w="852" w:type="dxa"/>
            <w:tcBorders>
              <w:top w:val="single" w:sz="4" w:space="0" w:color="auto"/>
              <w:left w:val="single" w:sz="4" w:space="0" w:color="auto"/>
              <w:bottom w:val="single" w:sz="4" w:space="0" w:color="auto"/>
              <w:right w:val="single" w:sz="4" w:space="0" w:color="auto"/>
            </w:tcBorders>
            <w:shd w:val="clear" w:color="000000" w:fill="FCF305"/>
            <w:hideMark/>
          </w:tcPr>
          <w:p w14:paraId="323A2EC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G4-SO8</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7D207701"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Monetärt värde av betydande böter och totalt icke-monetära sanktioner mot organisationen för brott mot gällande lagar och bestämmelser</w:t>
            </w:r>
          </w:p>
        </w:tc>
        <w:tc>
          <w:tcPr>
            <w:tcW w:w="1134" w:type="dxa"/>
            <w:tcBorders>
              <w:top w:val="single" w:sz="4" w:space="0" w:color="auto"/>
              <w:left w:val="single" w:sz="4" w:space="0" w:color="auto"/>
              <w:bottom w:val="single" w:sz="4" w:space="0" w:color="auto"/>
              <w:right w:val="single" w:sz="4" w:space="0" w:color="auto"/>
            </w:tcBorders>
          </w:tcPr>
          <w:p w14:paraId="618259D9"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0BDB6AB" w14:textId="77777777" w:rsidR="00060570" w:rsidRPr="00EA6971" w:rsidRDefault="0092405B"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2.6.2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91599FB" w14:textId="77777777" w:rsidR="00060570" w:rsidRPr="00EA6971" w:rsidRDefault="00060570" w:rsidP="00B821D7">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6.6</w:t>
            </w:r>
            <w:r w:rsidRPr="00EA6971">
              <w:rPr>
                <w:rFonts w:eastAsia="Times New Roman" w:cs="Arial"/>
                <w:sz w:val="20"/>
                <w:szCs w:val="20"/>
                <w:lang w:eastAsia="sv-SE"/>
              </w:rPr>
              <w:br/>
              <w:t>6.6.7</w:t>
            </w:r>
            <w:r w:rsidRPr="00EA6971">
              <w:rPr>
                <w:rFonts w:eastAsia="Times New Roman" w:cs="Arial"/>
                <w:sz w:val="20"/>
                <w:szCs w:val="20"/>
                <w:lang w:eastAsia="sv-SE"/>
              </w:rPr>
              <w:br/>
              <w:t>6.8.7</w:t>
            </w:r>
          </w:p>
        </w:tc>
      </w:tr>
      <w:tr w:rsidR="00060570" w:rsidRPr="00EA6971" w14:paraId="6E41CB82" w14:textId="77777777" w:rsidTr="0092405B">
        <w:trPr>
          <w:trHeight w:val="70"/>
        </w:trPr>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F0A613" w14:textId="77777777" w:rsidR="00060570" w:rsidRPr="00EA6971" w:rsidRDefault="00060570" w:rsidP="00B821D7">
            <w:pPr>
              <w:spacing w:after="0" w:line="240" w:lineRule="auto"/>
              <w:rPr>
                <w:rFonts w:eastAsia="Times New Roman" w:cs="Arial"/>
                <w:sz w:val="20"/>
                <w:szCs w:val="20"/>
                <w:lang w:eastAsia="sv-SE"/>
              </w:rPr>
            </w:pPr>
          </w:p>
        </w:tc>
        <w:tc>
          <w:tcPr>
            <w:tcW w:w="4677" w:type="dxa"/>
            <w:tcBorders>
              <w:top w:val="single" w:sz="4" w:space="0" w:color="auto"/>
              <w:left w:val="nil"/>
              <w:bottom w:val="single" w:sz="4" w:space="0" w:color="auto"/>
              <w:right w:val="single" w:sz="4" w:space="0" w:color="auto"/>
            </w:tcBorders>
            <w:shd w:val="clear" w:color="auto" w:fill="BFBFBF" w:themeFill="background1" w:themeFillShade="BF"/>
          </w:tcPr>
          <w:p w14:paraId="631FD8E1" w14:textId="77777777" w:rsidR="00060570" w:rsidRPr="00EA6971" w:rsidRDefault="00060570" w:rsidP="00B821D7">
            <w:pPr>
              <w:spacing w:after="0" w:line="240" w:lineRule="auto"/>
              <w:rPr>
                <w:rFonts w:eastAsia="Times New Roman" w:cs="Arial"/>
                <w:b/>
                <w:sz w:val="20"/>
                <w:szCs w:val="20"/>
                <w:lang w:eastAsia="sv-SE"/>
              </w:rPr>
            </w:pPr>
            <w:r w:rsidRPr="00EA6971">
              <w:rPr>
                <w:rFonts w:eastAsia="Times New Roman" w:cs="Arial"/>
                <w:b/>
                <w:sz w:val="20"/>
                <w:szCs w:val="20"/>
                <w:lang w:eastAsia="sv-SE"/>
              </w:rPr>
              <w:t>Produktansvar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7D00F7F"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EF5A38" w14:textId="77777777" w:rsidR="00060570" w:rsidRPr="00EA6971" w:rsidRDefault="00060570" w:rsidP="00B821D7">
            <w:pPr>
              <w:spacing w:after="0" w:line="240" w:lineRule="auto"/>
              <w:rPr>
                <w:rFonts w:eastAsia="Times New Roman" w:cs="Arial"/>
                <w:sz w:val="20"/>
                <w:szCs w:val="20"/>
                <w:lang w:eastAsia="sv-SE"/>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14:paraId="70650370"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EA6971" w14:paraId="03E665FB" w14:textId="77777777" w:rsidTr="0092405B">
        <w:trPr>
          <w:trHeight w:val="584"/>
        </w:trPr>
        <w:tc>
          <w:tcPr>
            <w:tcW w:w="852" w:type="dxa"/>
            <w:tcBorders>
              <w:top w:val="single" w:sz="4" w:space="0" w:color="auto"/>
              <w:left w:val="single" w:sz="4" w:space="0" w:color="auto"/>
              <w:bottom w:val="single" w:sz="4" w:space="0" w:color="auto"/>
              <w:right w:val="single" w:sz="4" w:space="0" w:color="auto"/>
            </w:tcBorders>
            <w:shd w:val="clear" w:color="000000" w:fill="FCF305"/>
          </w:tcPr>
          <w:p w14:paraId="6D2922C0"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G4-PR5</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E270893" w14:textId="77777777" w:rsidR="00060570" w:rsidRPr="00EA6971" w:rsidRDefault="00060570"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Resultat av kundundersökningar som mäter kundnöjdhet</w:t>
            </w:r>
          </w:p>
        </w:tc>
        <w:tc>
          <w:tcPr>
            <w:tcW w:w="1134" w:type="dxa"/>
            <w:tcBorders>
              <w:top w:val="single" w:sz="4" w:space="0" w:color="auto"/>
              <w:left w:val="single" w:sz="4" w:space="0" w:color="auto"/>
              <w:bottom w:val="single" w:sz="4" w:space="0" w:color="auto"/>
              <w:right w:val="single" w:sz="4" w:space="0" w:color="auto"/>
            </w:tcBorders>
          </w:tcPr>
          <w:p w14:paraId="1A80CDBD" w14:textId="77777777" w:rsidR="00060570" w:rsidRPr="00EA6971" w:rsidRDefault="00060570" w:rsidP="00B821D7">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61996F" w14:textId="77777777" w:rsidR="00060570" w:rsidRPr="00EA6971" w:rsidRDefault="0092405B" w:rsidP="00B821D7">
            <w:pPr>
              <w:spacing w:after="0" w:line="240" w:lineRule="auto"/>
              <w:rPr>
                <w:rFonts w:eastAsia="Times New Roman" w:cs="Arial"/>
                <w:sz w:val="20"/>
                <w:szCs w:val="20"/>
                <w:lang w:eastAsia="sv-SE"/>
              </w:rPr>
            </w:pPr>
            <w:r w:rsidRPr="00EA6971">
              <w:rPr>
                <w:rFonts w:eastAsia="Times New Roman" w:cs="Arial"/>
                <w:sz w:val="20"/>
                <w:szCs w:val="20"/>
                <w:lang w:eastAsia="sv-SE"/>
              </w:rPr>
              <w:t>GRI-rapport</w:t>
            </w:r>
            <w:r w:rsidRPr="00EA6971">
              <w:rPr>
                <w:rFonts w:eastAsia="Times New Roman" w:cs="Arial"/>
                <w:sz w:val="20"/>
                <w:szCs w:val="20"/>
                <w:lang w:eastAsia="sv-SE"/>
              </w:rPr>
              <w:br/>
              <w:t>Stycke 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4825FE" w14:textId="77777777" w:rsidR="00060570" w:rsidRPr="00EA6971" w:rsidRDefault="00060570" w:rsidP="00B821D7">
            <w:pPr>
              <w:spacing w:after="0" w:line="240" w:lineRule="auto"/>
              <w:jc w:val="center"/>
              <w:rPr>
                <w:rFonts w:eastAsia="Times New Roman" w:cs="Arial"/>
                <w:sz w:val="20"/>
                <w:szCs w:val="20"/>
                <w:lang w:eastAsia="sv-SE"/>
              </w:rPr>
            </w:pPr>
          </w:p>
        </w:tc>
      </w:tr>
      <w:tr w:rsidR="00060570" w:rsidRPr="00CE4391" w14:paraId="4E71BE5D" w14:textId="77777777" w:rsidTr="0092405B">
        <w:trPr>
          <w:trHeight w:val="706"/>
        </w:trPr>
        <w:tc>
          <w:tcPr>
            <w:tcW w:w="852" w:type="dxa"/>
            <w:tcBorders>
              <w:top w:val="single" w:sz="4" w:space="0" w:color="auto"/>
              <w:left w:val="single" w:sz="4" w:space="0" w:color="auto"/>
              <w:bottom w:val="single" w:sz="4" w:space="0" w:color="auto"/>
              <w:right w:val="single" w:sz="4" w:space="0" w:color="auto"/>
            </w:tcBorders>
            <w:shd w:val="clear" w:color="000000" w:fill="FCF305"/>
          </w:tcPr>
          <w:p w14:paraId="38E30675" w14:textId="77777777" w:rsidR="00060570" w:rsidRPr="00EA6971" w:rsidRDefault="00060570" w:rsidP="00D67CA0">
            <w:pPr>
              <w:spacing w:after="0" w:line="240" w:lineRule="auto"/>
              <w:rPr>
                <w:rFonts w:eastAsia="Times New Roman" w:cs="Arial"/>
                <w:sz w:val="20"/>
                <w:szCs w:val="20"/>
                <w:lang w:eastAsia="sv-SE"/>
              </w:rPr>
            </w:pPr>
            <w:r w:rsidRPr="00EA6971">
              <w:rPr>
                <w:rFonts w:eastAsia="Times New Roman" w:cs="Arial"/>
                <w:sz w:val="20"/>
                <w:szCs w:val="20"/>
                <w:lang w:eastAsia="sv-SE"/>
              </w:rPr>
              <w:t>G4-PR8</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87B79C9" w14:textId="77777777" w:rsidR="00060570" w:rsidRPr="00EA6971" w:rsidRDefault="00060570" w:rsidP="00D67CA0">
            <w:pPr>
              <w:spacing w:after="0" w:line="240" w:lineRule="auto"/>
              <w:rPr>
                <w:rFonts w:eastAsia="Times New Roman" w:cs="Arial"/>
                <w:sz w:val="20"/>
                <w:szCs w:val="20"/>
                <w:lang w:eastAsia="sv-SE"/>
              </w:rPr>
            </w:pPr>
            <w:r w:rsidRPr="00EA6971">
              <w:rPr>
                <w:rFonts w:eastAsia="Times New Roman" w:cs="Arial"/>
                <w:sz w:val="20"/>
                <w:szCs w:val="20"/>
                <w:lang w:eastAsia="sv-SE"/>
              </w:rPr>
              <w:t>Totalt antal väsentliga klagomål gällande överträdelser mot kundintegriteten och förlust av kunddata</w:t>
            </w:r>
          </w:p>
        </w:tc>
        <w:tc>
          <w:tcPr>
            <w:tcW w:w="1134" w:type="dxa"/>
            <w:tcBorders>
              <w:top w:val="single" w:sz="4" w:space="0" w:color="auto"/>
              <w:left w:val="single" w:sz="4" w:space="0" w:color="auto"/>
              <w:bottom w:val="single" w:sz="4" w:space="0" w:color="auto"/>
              <w:right w:val="single" w:sz="4" w:space="0" w:color="auto"/>
            </w:tcBorders>
          </w:tcPr>
          <w:p w14:paraId="33FC1892" w14:textId="77777777" w:rsidR="00060570" w:rsidRPr="00EA6971" w:rsidRDefault="00060570" w:rsidP="00D67CA0">
            <w:pPr>
              <w:spacing w:after="0" w:line="240" w:lineRule="auto"/>
              <w:rPr>
                <w:rFonts w:eastAsia="Times New Roman" w:cs="Arial"/>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4758F3" w14:textId="77777777" w:rsidR="00060570" w:rsidRPr="00EA6971" w:rsidRDefault="00060570" w:rsidP="0092405B">
            <w:pPr>
              <w:spacing w:after="0" w:line="240" w:lineRule="auto"/>
              <w:rPr>
                <w:rFonts w:eastAsia="Times New Roman" w:cs="Arial"/>
                <w:sz w:val="20"/>
                <w:szCs w:val="20"/>
                <w:lang w:eastAsia="sv-SE"/>
              </w:rPr>
            </w:pPr>
            <w:r w:rsidRPr="00EA6971">
              <w:rPr>
                <w:rFonts w:eastAsia="Times New Roman" w:cs="Arial"/>
                <w:sz w:val="20"/>
                <w:szCs w:val="20"/>
                <w:lang w:eastAsia="sv-SE"/>
              </w:rPr>
              <w:t xml:space="preserve">GRI-rapport </w:t>
            </w:r>
            <w:r w:rsidRPr="00EA6971">
              <w:rPr>
                <w:rFonts w:eastAsia="Times New Roman" w:cs="Arial"/>
                <w:sz w:val="20"/>
                <w:szCs w:val="20"/>
                <w:lang w:eastAsia="sv-SE"/>
              </w:rPr>
              <w:br/>
              <w:t>Stycke 2.3</w:t>
            </w:r>
            <w:r w:rsidRPr="00EA6971">
              <w:rPr>
                <w:rFonts w:eastAsia="Times New Roman" w:cs="Arial"/>
                <w:sz w:val="20"/>
                <w:szCs w:val="20"/>
                <w:lang w:eastAsia="sv-SE"/>
              </w:rPr>
              <w:br/>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2C6027" w14:textId="77777777" w:rsidR="00060570" w:rsidRPr="00094408" w:rsidRDefault="00060570" w:rsidP="00D67CA0">
            <w:pPr>
              <w:spacing w:after="0" w:line="240" w:lineRule="auto"/>
              <w:jc w:val="center"/>
              <w:rPr>
                <w:rFonts w:eastAsia="Times New Roman" w:cs="Arial"/>
                <w:sz w:val="20"/>
                <w:szCs w:val="20"/>
                <w:lang w:eastAsia="sv-SE"/>
              </w:rPr>
            </w:pPr>
            <w:r w:rsidRPr="00EA6971">
              <w:rPr>
                <w:rFonts w:eastAsia="Times New Roman" w:cs="Arial"/>
                <w:sz w:val="20"/>
                <w:szCs w:val="20"/>
                <w:lang w:eastAsia="sv-SE"/>
              </w:rPr>
              <w:t>6.7</w:t>
            </w:r>
            <w:r w:rsidRPr="00EA6971">
              <w:rPr>
                <w:rFonts w:eastAsia="Times New Roman" w:cs="Arial"/>
                <w:sz w:val="20"/>
                <w:szCs w:val="20"/>
                <w:lang w:eastAsia="sv-SE"/>
              </w:rPr>
              <w:br/>
              <w:t>6.7.7</w:t>
            </w:r>
          </w:p>
        </w:tc>
      </w:tr>
    </w:tbl>
    <w:p w14:paraId="7CA0DBE9" w14:textId="77777777" w:rsidR="007B3C9F" w:rsidRPr="007B3C9F" w:rsidRDefault="007B3C9F" w:rsidP="007B3C9F"/>
    <w:sectPr w:rsidR="007B3C9F" w:rsidRPr="007B3C9F" w:rsidSect="003D400A">
      <w:footerReference w:type="default" r:id="rId18"/>
      <w:type w:val="continuous"/>
      <w:pgSz w:w="11906" w:h="16838"/>
      <w:pgMar w:top="1276" w:right="1417" w:bottom="709" w:left="1764" w:header="708" w:footer="708" w:gutter="0"/>
      <w:pgBorders w:offsetFrom="page">
        <w:top w:val="single" w:sz="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87EC2" w14:textId="77777777" w:rsidR="001A191B" w:rsidRDefault="001A191B" w:rsidP="008919A7">
      <w:pPr>
        <w:spacing w:after="0" w:line="240" w:lineRule="auto"/>
      </w:pPr>
      <w:r>
        <w:separator/>
      </w:r>
    </w:p>
  </w:endnote>
  <w:endnote w:type="continuationSeparator" w:id="0">
    <w:p w14:paraId="446FA47A" w14:textId="77777777" w:rsidR="001A191B" w:rsidRDefault="001A191B" w:rsidP="0089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z Interstate ExtraLight">
    <w:charset w:val="00"/>
    <w:family w:val="auto"/>
    <w:pitch w:val="variable"/>
    <w:sig w:usb0="A00002A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6883"/>
      <w:docPartObj>
        <w:docPartGallery w:val="Page Numbers (Bottom of Page)"/>
        <w:docPartUnique/>
      </w:docPartObj>
    </w:sdtPr>
    <w:sdtContent>
      <w:p w14:paraId="0178D4C0" w14:textId="77777777" w:rsidR="001A191B" w:rsidRDefault="001A191B">
        <w:pPr>
          <w:pStyle w:val="Sidfot"/>
          <w:jc w:val="right"/>
        </w:pPr>
        <w:r>
          <w:fldChar w:fldCharType="begin"/>
        </w:r>
        <w:r>
          <w:instrText>PAGE   \* MERGEFORMAT</w:instrText>
        </w:r>
        <w:r>
          <w:fldChar w:fldCharType="separate"/>
        </w:r>
        <w:r w:rsidR="00995BAE">
          <w:rPr>
            <w:noProof/>
          </w:rPr>
          <w:t>16</w:t>
        </w:r>
        <w:r>
          <w:fldChar w:fldCharType="end"/>
        </w:r>
      </w:p>
    </w:sdtContent>
  </w:sdt>
  <w:p w14:paraId="138673F0" w14:textId="77777777" w:rsidR="001A191B" w:rsidRDefault="001A19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93A43" w14:textId="77777777" w:rsidR="001A191B" w:rsidRDefault="001A191B" w:rsidP="008919A7">
      <w:pPr>
        <w:spacing w:after="0" w:line="240" w:lineRule="auto"/>
      </w:pPr>
      <w:r>
        <w:separator/>
      </w:r>
    </w:p>
  </w:footnote>
  <w:footnote w:type="continuationSeparator" w:id="0">
    <w:p w14:paraId="7FFFD324" w14:textId="77777777" w:rsidR="001A191B" w:rsidRDefault="001A191B" w:rsidP="00891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49D"/>
    <w:multiLevelType w:val="hybridMultilevel"/>
    <w:tmpl w:val="7D28D998"/>
    <w:lvl w:ilvl="0" w:tplc="B6985AF2">
      <w:start w:val="19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AB04E4"/>
    <w:multiLevelType w:val="hybridMultilevel"/>
    <w:tmpl w:val="996E92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8F2612"/>
    <w:multiLevelType w:val="hybridMultilevel"/>
    <w:tmpl w:val="869473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E175B0"/>
    <w:multiLevelType w:val="multilevel"/>
    <w:tmpl w:val="5740A902"/>
    <w:lvl w:ilvl="0">
      <w:start w:val="2"/>
      <w:numFmt w:val="decimal"/>
      <w:lvlText w:val="%1"/>
      <w:lvlJc w:val="left"/>
      <w:pPr>
        <w:ind w:left="372" w:hanging="37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363"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19C26C76"/>
    <w:multiLevelType w:val="hybridMultilevel"/>
    <w:tmpl w:val="0A62B214"/>
    <w:lvl w:ilvl="0" w:tplc="DF660460">
      <w:start w:val="1"/>
      <w:numFmt w:val="bullet"/>
      <w:lvlText w:val="•"/>
      <w:lvlJc w:val="left"/>
      <w:pPr>
        <w:tabs>
          <w:tab w:val="num" w:pos="720"/>
        </w:tabs>
        <w:ind w:left="720" w:hanging="360"/>
      </w:pPr>
      <w:rPr>
        <w:rFonts w:ascii="Arial" w:hAnsi="Arial" w:cs="Times New Roman" w:hint="default"/>
      </w:rPr>
    </w:lvl>
    <w:lvl w:ilvl="1" w:tplc="1A50D8CE">
      <w:start w:val="53"/>
      <w:numFmt w:val="bullet"/>
      <w:lvlText w:val="•"/>
      <w:lvlJc w:val="left"/>
      <w:pPr>
        <w:tabs>
          <w:tab w:val="num" w:pos="1440"/>
        </w:tabs>
        <w:ind w:left="1440" w:hanging="360"/>
      </w:pPr>
      <w:rPr>
        <w:rFonts w:ascii="Arial" w:hAnsi="Arial" w:cs="Times New Roman" w:hint="default"/>
      </w:rPr>
    </w:lvl>
    <w:lvl w:ilvl="2" w:tplc="041D0003">
      <w:start w:val="1"/>
      <w:numFmt w:val="bullet"/>
      <w:lvlText w:val="o"/>
      <w:lvlJc w:val="left"/>
      <w:pPr>
        <w:tabs>
          <w:tab w:val="num" w:pos="2160"/>
        </w:tabs>
        <w:ind w:left="2160" w:hanging="360"/>
      </w:pPr>
      <w:rPr>
        <w:rFonts w:ascii="Courier New" w:hAnsi="Courier New" w:cs="Courier New" w:hint="default"/>
      </w:rPr>
    </w:lvl>
    <w:lvl w:ilvl="3" w:tplc="26D2BF38">
      <w:start w:val="1"/>
      <w:numFmt w:val="bullet"/>
      <w:lvlText w:val="•"/>
      <w:lvlJc w:val="left"/>
      <w:pPr>
        <w:tabs>
          <w:tab w:val="num" w:pos="2880"/>
        </w:tabs>
        <w:ind w:left="2880" w:hanging="360"/>
      </w:pPr>
      <w:rPr>
        <w:rFonts w:ascii="Arial" w:hAnsi="Arial" w:cs="Times New Roman" w:hint="default"/>
      </w:rPr>
    </w:lvl>
    <w:lvl w:ilvl="4" w:tplc="4132AB62">
      <w:start w:val="1"/>
      <w:numFmt w:val="bullet"/>
      <w:lvlText w:val="•"/>
      <w:lvlJc w:val="left"/>
      <w:pPr>
        <w:tabs>
          <w:tab w:val="num" w:pos="3600"/>
        </w:tabs>
        <w:ind w:left="3600" w:hanging="360"/>
      </w:pPr>
      <w:rPr>
        <w:rFonts w:ascii="Arial" w:hAnsi="Arial" w:cs="Times New Roman" w:hint="default"/>
      </w:rPr>
    </w:lvl>
    <w:lvl w:ilvl="5" w:tplc="81AE9532">
      <w:start w:val="1"/>
      <w:numFmt w:val="bullet"/>
      <w:lvlText w:val="•"/>
      <w:lvlJc w:val="left"/>
      <w:pPr>
        <w:tabs>
          <w:tab w:val="num" w:pos="4320"/>
        </w:tabs>
        <w:ind w:left="4320" w:hanging="360"/>
      </w:pPr>
      <w:rPr>
        <w:rFonts w:ascii="Arial" w:hAnsi="Arial" w:cs="Times New Roman" w:hint="default"/>
      </w:rPr>
    </w:lvl>
    <w:lvl w:ilvl="6" w:tplc="21B459E4">
      <w:start w:val="1"/>
      <w:numFmt w:val="bullet"/>
      <w:lvlText w:val="•"/>
      <w:lvlJc w:val="left"/>
      <w:pPr>
        <w:tabs>
          <w:tab w:val="num" w:pos="5040"/>
        </w:tabs>
        <w:ind w:left="5040" w:hanging="360"/>
      </w:pPr>
      <w:rPr>
        <w:rFonts w:ascii="Arial" w:hAnsi="Arial" w:cs="Times New Roman" w:hint="default"/>
      </w:rPr>
    </w:lvl>
    <w:lvl w:ilvl="7" w:tplc="F578C658">
      <w:start w:val="1"/>
      <w:numFmt w:val="bullet"/>
      <w:lvlText w:val="•"/>
      <w:lvlJc w:val="left"/>
      <w:pPr>
        <w:tabs>
          <w:tab w:val="num" w:pos="5760"/>
        </w:tabs>
        <w:ind w:left="5760" w:hanging="360"/>
      </w:pPr>
      <w:rPr>
        <w:rFonts w:ascii="Arial" w:hAnsi="Arial" w:cs="Times New Roman" w:hint="default"/>
      </w:rPr>
    </w:lvl>
    <w:lvl w:ilvl="8" w:tplc="98D8049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03124D3"/>
    <w:multiLevelType w:val="multilevel"/>
    <w:tmpl w:val="251871A6"/>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0600105"/>
    <w:multiLevelType w:val="multilevel"/>
    <w:tmpl w:val="8C2E64BA"/>
    <w:lvl w:ilvl="0">
      <w:start w:val="1"/>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1F077E0"/>
    <w:multiLevelType w:val="hybridMultilevel"/>
    <w:tmpl w:val="40D809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D396DC9"/>
    <w:multiLevelType w:val="multilevel"/>
    <w:tmpl w:val="081ED2E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A1B3213"/>
    <w:multiLevelType w:val="hybridMultilevel"/>
    <w:tmpl w:val="9D2073EA"/>
    <w:lvl w:ilvl="0" w:tplc="A0A41DEE">
      <w:start w:val="19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6A7BAA"/>
    <w:multiLevelType w:val="hybridMultilevel"/>
    <w:tmpl w:val="E062ABB4"/>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11" w15:restartNumberingAfterBreak="0">
    <w:nsid w:val="59350D57"/>
    <w:multiLevelType w:val="hybridMultilevel"/>
    <w:tmpl w:val="005869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991513A"/>
    <w:multiLevelType w:val="hybridMultilevel"/>
    <w:tmpl w:val="C4FC70DC"/>
    <w:lvl w:ilvl="0" w:tplc="7242F09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392C7F"/>
    <w:multiLevelType w:val="hybridMultilevel"/>
    <w:tmpl w:val="656C52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62CD3130"/>
    <w:multiLevelType w:val="hybridMultilevel"/>
    <w:tmpl w:val="8FA2E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4DE52E2"/>
    <w:multiLevelType w:val="hybridMultilevel"/>
    <w:tmpl w:val="DA382A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6BD2968"/>
    <w:multiLevelType w:val="hybridMultilevel"/>
    <w:tmpl w:val="5516A5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E3E5D48"/>
    <w:multiLevelType w:val="hybridMultilevel"/>
    <w:tmpl w:val="B24E0E4A"/>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num w:numId="1">
    <w:abstractNumId w:val="5"/>
  </w:num>
  <w:num w:numId="2">
    <w:abstractNumId w:val="10"/>
  </w:num>
  <w:num w:numId="3">
    <w:abstractNumId w:val="12"/>
  </w:num>
  <w:num w:numId="4">
    <w:abstractNumId w:val="15"/>
  </w:num>
  <w:num w:numId="5">
    <w:abstractNumId w:val="16"/>
  </w:num>
  <w:num w:numId="6">
    <w:abstractNumId w:val="1"/>
  </w:num>
  <w:num w:numId="7">
    <w:abstractNumId w:val="2"/>
  </w:num>
  <w:num w:numId="8">
    <w:abstractNumId w:val="11"/>
  </w:num>
  <w:num w:numId="9">
    <w:abstractNumId w:val="9"/>
  </w:num>
  <w:num w:numId="10">
    <w:abstractNumId w:val="0"/>
  </w:num>
  <w:num w:numId="11">
    <w:abstractNumId w:val="6"/>
  </w:num>
  <w:num w:numId="12">
    <w:abstractNumId w:val="8"/>
  </w:num>
  <w:num w:numId="13">
    <w:abstractNumId w:val="17"/>
  </w:num>
  <w:num w:numId="14">
    <w:abstractNumId w:val="14"/>
  </w:num>
  <w:num w:numId="15">
    <w:abstractNumId w:val="7"/>
  </w:num>
  <w:num w:numId="16">
    <w:abstractNumId w:val="3"/>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BF"/>
    <w:rsid w:val="0000020B"/>
    <w:rsid w:val="00013B70"/>
    <w:rsid w:val="00013F66"/>
    <w:rsid w:val="00015DAD"/>
    <w:rsid w:val="000222DD"/>
    <w:rsid w:val="0002587B"/>
    <w:rsid w:val="00026605"/>
    <w:rsid w:val="00034547"/>
    <w:rsid w:val="00036F21"/>
    <w:rsid w:val="000416E7"/>
    <w:rsid w:val="000431BB"/>
    <w:rsid w:val="0004707A"/>
    <w:rsid w:val="00047A9F"/>
    <w:rsid w:val="000530A1"/>
    <w:rsid w:val="000573E3"/>
    <w:rsid w:val="000575AB"/>
    <w:rsid w:val="00060570"/>
    <w:rsid w:val="000618C3"/>
    <w:rsid w:val="0006529C"/>
    <w:rsid w:val="00066E8F"/>
    <w:rsid w:val="00073702"/>
    <w:rsid w:val="00074587"/>
    <w:rsid w:val="00076475"/>
    <w:rsid w:val="0008088A"/>
    <w:rsid w:val="000836B2"/>
    <w:rsid w:val="00087C02"/>
    <w:rsid w:val="000901CA"/>
    <w:rsid w:val="00091EB0"/>
    <w:rsid w:val="0009233A"/>
    <w:rsid w:val="0009286A"/>
    <w:rsid w:val="00094408"/>
    <w:rsid w:val="000956A1"/>
    <w:rsid w:val="00096B68"/>
    <w:rsid w:val="000A0968"/>
    <w:rsid w:val="000A4A8E"/>
    <w:rsid w:val="000B1AA9"/>
    <w:rsid w:val="000B29E0"/>
    <w:rsid w:val="000C2FB6"/>
    <w:rsid w:val="000C3160"/>
    <w:rsid w:val="000C4F3C"/>
    <w:rsid w:val="000C5B8A"/>
    <w:rsid w:val="000C5E95"/>
    <w:rsid w:val="000C75ED"/>
    <w:rsid w:val="000D1D0E"/>
    <w:rsid w:val="000D59CC"/>
    <w:rsid w:val="000D62F7"/>
    <w:rsid w:val="000E48A3"/>
    <w:rsid w:val="000F579C"/>
    <w:rsid w:val="00105169"/>
    <w:rsid w:val="001053E3"/>
    <w:rsid w:val="00105C29"/>
    <w:rsid w:val="001069ED"/>
    <w:rsid w:val="001072DF"/>
    <w:rsid w:val="001135A1"/>
    <w:rsid w:val="00114220"/>
    <w:rsid w:val="001175B3"/>
    <w:rsid w:val="00122FDC"/>
    <w:rsid w:val="0012592F"/>
    <w:rsid w:val="00130325"/>
    <w:rsid w:val="001310CE"/>
    <w:rsid w:val="00135690"/>
    <w:rsid w:val="00145189"/>
    <w:rsid w:val="00146B74"/>
    <w:rsid w:val="00146F4C"/>
    <w:rsid w:val="00150B80"/>
    <w:rsid w:val="0015192E"/>
    <w:rsid w:val="00152498"/>
    <w:rsid w:val="00155371"/>
    <w:rsid w:val="00164C17"/>
    <w:rsid w:val="001670B5"/>
    <w:rsid w:val="00167486"/>
    <w:rsid w:val="00167906"/>
    <w:rsid w:val="00171F82"/>
    <w:rsid w:val="00176254"/>
    <w:rsid w:val="00176C5E"/>
    <w:rsid w:val="0018314C"/>
    <w:rsid w:val="0018760B"/>
    <w:rsid w:val="00196CA4"/>
    <w:rsid w:val="00196DD4"/>
    <w:rsid w:val="00197D35"/>
    <w:rsid w:val="001A191B"/>
    <w:rsid w:val="001A78B4"/>
    <w:rsid w:val="001B1A04"/>
    <w:rsid w:val="001B58CD"/>
    <w:rsid w:val="001C0200"/>
    <w:rsid w:val="001C07B1"/>
    <w:rsid w:val="001C341A"/>
    <w:rsid w:val="001C4279"/>
    <w:rsid w:val="001C4741"/>
    <w:rsid w:val="001C7782"/>
    <w:rsid w:val="001D1372"/>
    <w:rsid w:val="001D1E21"/>
    <w:rsid w:val="001D71C4"/>
    <w:rsid w:val="001E03FE"/>
    <w:rsid w:val="001E35DD"/>
    <w:rsid w:val="001E57B3"/>
    <w:rsid w:val="001E7130"/>
    <w:rsid w:val="001F00CE"/>
    <w:rsid w:val="001F16BB"/>
    <w:rsid w:val="001F3701"/>
    <w:rsid w:val="001F40E9"/>
    <w:rsid w:val="001F64FF"/>
    <w:rsid w:val="001F663D"/>
    <w:rsid w:val="001F7593"/>
    <w:rsid w:val="002042BC"/>
    <w:rsid w:val="00205469"/>
    <w:rsid w:val="00212880"/>
    <w:rsid w:val="00213484"/>
    <w:rsid w:val="002165CC"/>
    <w:rsid w:val="00222822"/>
    <w:rsid w:val="002341F8"/>
    <w:rsid w:val="00245C66"/>
    <w:rsid w:val="002469FB"/>
    <w:rsid w:val="00247B78"/>
    <w:rsid w:val="002505ED"/>
    <w:rsid w:val="00251718"/>
    <w:rsid w:val="002537E1"/>
    <w:rsid w:val="00255864"/>
    <w:rsid w:val="00256674"/>
    <w:rsid w:val="002606E6"/>
    <w:rsid w:val="00261492"/>
    <w:rsid w:val="00266FDD"/>
    <w:rsid w:val="00270C26"/>
    <w:rsid w:val="00277BA3"/>
    <w:rsid w:val="0028531F"/>
    <w:rsid w:val="00297E18"/>
    <w:rsid w:val="002A3912"/>
    <w:rsid w:val="002A3C47"/>
    <w:rsid w:val="002A5E67"/>
    <w:rsid w:val="002A641F"/>
    <w:rsid w:val="002B58D6"/>
    <w:rsid w:val="002D1DF2"/>
    <w:rsid w:val="002D4515"/>
    <w:rsid w:val="002D63D9"/>
    <w:rsid w:val="002F281F"/>
    <w:rsid w:val="002F32FD"/>
    <w:rsid w:val="002F4030"/>
    <w:rsid w:val="00304ED7"/>
    <w:rsid w:val="00310562"/>
    <w:rsid w:val="00311432"/>
    <w:rsid w:val="003118A3"/>
    <w:rsid w:val="0031195B"/>
    <w:rsid w:val="003132C9"/>
    <w:rsid w:val="00314D7C"/>
    <w:rsid w:val="00317F1E"/>
    <w:rsid w:val="003205C3"/>
    <w:rsid w:val="003208E2"/>
    <w:rsid w:val="00323856"/>
    <w:rsid w:val="00323E70"/>
    <w:rsid w:val="00331698"/>
    <w:rsid w:val="00332332"/>
    <w:rsid w:val="00332CC9"/>
    <w:rsid w:val="00332CCC"/>
    <w:rsid w:val="003403BF"/>
    <w:rsid w:val="00340C85"/>
    <w:rsid w:val="00344330"/>
    <w:rsid w:val="0035326D"/>
    <w:rsid w:val="0035340B"/>
    <w:rsid w:val="00355A11"/>
    <w:rsid w:val="00355EE7"/>
    <w:rsid w:val="00355F75"/>
    <w:rsid w:val="00356C42"/>
    <w:rsid w:val="00357530"/>
    <w:rsid w:val="00362DC1"/>
    <w:rsid w:val="003663A5"/>
    <w:rsid w:val="00371708"/>
    <w:rsid w:val="00372631"/>
    <w:rsid w:val="003745E1"/>
    <w:rsid w:val="00375268"/>
    <w:rsid w:val="003779A3"/>
    <w:rsid w:val="00382518"/>
    <w:rsid w:val="0038363D"/>
    <w:rsid w:val="00385B54"/>
    <w:rsid w:val="00387566"/>
    <w:rsid w:val="003A049A"/>
    <w:rsid w:val="003A2BAF"/>
    <w:rsid w:val="003A7A11"/>
    <w:rsid w:val="003B23CE"/>
    <w:rsid w:val="003B5589"/>
    <w:rsid w:val="003B705E"/>
    <w:rsid w:val="003C07BB"/>
    <w:rsid w:val="003D0043"/>
    <w:rsid w:val="003D400A"/>
    <w:rsid w:val="003D4A7F"/>
    <w:rsid w:val="003E489C"/>
    <w:rsid w:val="003E502A"/>
    <w:rsid w:val="003E605C"/>
    <w:rsid w:val="003E7095"/>
    <w:rsid w:val="003F0035"/>
    <w:rsid w:val="003F1BFC"/>
    <w:rsid w:val="003F493C"/>
    <w:rsid w:val="003F4CBD"/>
    <w:rsid w:val="004058C5"/>
    <w:rsid w:val="00411750"/>
    <w:rsid w:val="00412462"/>
    <w:rsid w:val="00412AA1"/>
    <w:rsid w:val="00415FD9"/>
    <w:rsid w:val="00421B5E"/>
    <w:rsid w:val="004270B1"/>
    <w:rsid w:val="0043020D"/>
    <w:rsid w:val="00436A6E"/>
    <w:rsid w:val="00440529"/>
    <w:rsid w:val="0045147F"/>
    <w:rsid w:val="00453ECC"/>
    <w:rsid w:val="00461330"/>
    <w:rsid w:val="0046238A"/>
    <w:rsid w:val="00463234"/>
    <w:rsid w:val="0046582E"/>
    <w:rsid w:val="00466344"/>
    <w:rsid w:val="00470B59"/>
    <w:rsid w:val="004713F9"/>
    <w:rsid w:val="00471CC4"/>
    <w:rsid w:val="00471E51"/>
    <w:rsid w:val="00485594"/>
    <w:rsid w:val="00487196"/>
    <w:rsid w:val="00491C78"/>
    <w:rsid w:val="004929DB"/>
    <w:rsid w:val="0049427E"/>
    <w:rsid w:val="00495197"/>
    <w:rsid w:val="004963E3"/>
    <w:rsid w:val="004A0B1A"/>
    <w:rsid w:val="004A3E02"/>
    <w:rsid w:val="004A5283"/>
    <w:rsid w:val="004B0DD1"/>
    <w:rsid w:val="004B1EA6"/>
    <w:rsid w:val="004B5550"/>
    <w:rsid w:val="004B56F9"/>
    <w:rsid w:val="004B6027"/>
    <w:rsid w:val="004B62D2"/>
    <w:rsid w:val="004C00E0"/>
    <w:rsid w:val="004C0DE5"/>
    <w:rsid w:val="004D011E"/>
    <w:rsid w:val="004D33D1"/>
    <w:rsid w:val="004D379E"/>
    <w:rsid w:val="004D59E9"/>
    <w:rsid w:val="004D621C"/>
    <w:rsid w:val="004D68A5"/>
    <w:rsid w:val="004E532C"/>
    <w:rsid w:val="004E5698"/>
    <w:rsid w:val="004F1ABA"/>
    <w:rsid w:val="004F6FDE"/>
    <w:rsid w:val="00501847"/>
    <w:rsid w:val="005020E1"/>
    <w:rsid w:val="005037E8"/>
    <w:rsid w:val="00503A92"/>
    <w:rsid w:val="00506B2C"/>
    <w:rsid w:val="00507A24"/>
    <w:rsid w:val="00510E63"/>
    <w:rsid w:val="0051132F"/>
    <w:rsid w:val="00512694"/>
    <w:rsid w:val="00512C89"/>
    <w:rsid w:val="005134A5"/>
    <w:rsid w:val="00514068"/>
    <w:rsid w:val="0051536C"/>
    <w:rsid w:val="0051795D"/>
    <w:rsid w:val="00522235"/>
    <w:rsid w:val="005260BD"/>
    <w:rsid w:val="0053354D"/>
    <w:rsid w:val="0053403F"/>
    <w:rsid w:val="005454E0"/>
    <w:rsid w:val="00555188"/>
    <w:rsid w:val="0056036E"/>
    <w:rsid w:val="0056193F"/>
    <w:rsid w:val="005658AE"/>
    <w:rsid w:val="00565A6A"/>
    <w:rsid w:val="005709B8"/>
    <w:rsid w:val="00571E0F"/>
    <w:rsid w:val="005729B2"/>
    <w:rsid w:val="005771FB"/>
    <w:rsid w:val="0058263E"/>
    <w:rsid w:val="0058484F"/>
    <w:rsid w:val="005860C9"/>
    <w:rsid w:val="00586640"/>
    <w:rsid w:val="005A0BDD"/>
    <w:rsid w:val="005A5D0C"/>
    <w:rsid w:val="005A750B"/>
    <w:rsid w:val="005A758C"/>
    <w:rsid w:val="005C1A23"/>
    <w:rsid w:val="005C6BCB"/>
    <w:rsid w:val="005D174E"/>
    <w:rsid w:val="005D26AF"/>
    <w:rsid w:val="005D4173"/>
    <w:rsid w:val="005D55FA"/>
    <w:rsid w:val="005D65CF"/>
    <w:rsid w:val="005D743F"/>
    <w:rsid w:val="005D7BDC"/>
    <w:rsid w:val="005E13F3"/>
    <w:rsid w:val="005E328B"/>
    <w:rsid w:val="005E3DE9"/>
    <w:rsid w:val="005E70AF"/>
    <w:rsid w:val="005F0CA3"/>
    <w:rsid w:val="005F29C0"/>
    <w:rsid w:val="005F2B94"/>
    <w:rsid w:val="005F3186"/>
    <w:rsid w:val="005F4BC4"/>
    <w:rsid w:val="00604159"/>
    <w:rsid w:val="00606A6B"/>
    <w:rsid w:val="0060766A"/>
    <w:rsid w:val="00613BC2"/>
    <w:rsid w:val="00616A29"/>
    <w:rsid w:val="006231CE"/>
    <w:rsid w:val="00624450"/>
    <w:rsid w:val="006338A2"/>
    <w:rsid w:val="0064419C"/>
    <w:rsid w:val="00650C37"/>
    <w:rsid w:val="00650D38"/>
    <w:rsid w:val="006522F7"/>
    <w:rsid w:val="00661147"/>
    <w:rsid w:val="0066595E"/>
    <w:rsid w:val="006716F2"/>
    <w:rsid w:val="006767F3"/>
    <w:rsid w:val="00677D4D"/>
    <w:rsid w:val="00677FFB"/>
    <w:rsid w:val="00681AD6"/>
    <w:rsid w:val="00682608"/>
    <w:rsid w:val="0068347F"/>
    <w:rsid w:val="00684A26"/>
    <w:rsid w:val="00685698"/>
    <w:rsid w:val="00685D89"/>
    <w:rsid w:val="00686C7B"/>
    <w:rsid w:val="00687F56"/>
    <w:rsid w:val="00694DDA"/>
    <w:rsid w:val="006969EF"/>
    <w:rsid w:val="006A1DAF"/>
    <w:rsid w:val="006A667F"/>
    <w:rsid w:val="006A7D13"/>
    <w:rsid w:val="006B4363"/>
    <w:rsid w:val="006B43A0"/>
    <w:rsid w:val="006B6B56"/>
    <w:rsid w:val="006B7FC6"/>
    <w:rsid w:val="006C1695"/>
    <w:rsid w:val="006C2FD6"/>
    <w:rsid w:val="006C74AC"/>
    <w:rsid w:val="006D2AC7"/>
    <w:rsid w:val="006D39B6"/>
    <w:rsid w:val="006D3D66"/>
    <w:rsid w:val="006D4DFF"/>
    <w:rsid w:val="006D5646"/>
    <w:rsid w:val="006D62F7"/>
    <w:rsid w:val="006E187E"/>
    <w:rsid w:val="006E4305"/>
    <w:rsid w:val="006E5857"/>
    <w:rsid w:val="006E5A28"/>
    <w:rsid w:val="006E6079"/>
    <w:rsid w:val="006F0238"/>
    <w:rsid w:val="006F0B36"/>
    <w:rsid w:val="006F13CA"/>
    <w:rsid w:val="006F1A28"/>
    <w:rsid w:val="006F47B1"/>
    <w:rsid w:val="00706026"/>
    <w:rsid w:val="00710013"/>
    <w:rsid w:val="0071052E"/>
    <w:rsid w:val="00714F4A"/>
    <w:rsid w:val="00717AD4"/>
    <w:rsid w:val="0072356F"/>
    <w:rsid w:val="00727F9B"/>
    <w:rsid w:val="00732074"/>
    <w:rsid w:val="00732707"/>
    <w:rsid w:val="00740F0B"/>
    <w:rsid w:val="007414F8"/>
    <w:rsid w:val="0074227E"/>
    <w:rsid w:val="00752250"/>
    <w:rsid w:val="0075266B"/>
    <w:rsid w:val="00753EEB"/>
    <w:rsid w:val="00755038"/>
    <w:rsid w:val="007573FE"/>
    <w:rsid w:val="00762CC4"/>
    <w:rsid w:val="00763B10"/>
    <w:rsid w:val="00772E00"/>
    <w:rsid w:val="0077385B"/>
    <w:rsid w:val="00775D13"/>
    <w:rsid w:val="007766C3"/>
    <w:rsid w:val="00780C81"/>
    <w:rsid w:val="007813B2"/>
    <w:rsid w:val="00794466"/>
    <w:rsid w:val="007948E8"/>
    <w:rsid w:val="007A0BEC"/>
    <w:rsid w:val="007A685B"/>
    <w:rsid w:val="007A7000"/>
    <w:rsid w:val="007B182C"/>
    <w:rsid w:val="007B25EB"/>
    <w:rsid w:val="007B3C9F"/>
    <w:rsid w:val="007B7AD9"/>
    <w:rsid w:val="007C2BE1"/>
    <w:rsid w:val="007C45E9"/>
    <w:rsid w:val="007C6624"/>
    <w:rsid w:val="007C7A8F"/>
    <w:rsid w:val="007D03BB"/>
    <w:rsid w:val="007D2292"/>
    <w:rsid w:val="007D3146"/>
    <w:rsid w:val="007D4858"/>
    <w:rsid w:val="007D553C"/>
    <w:rsid w:val="007E24FB"/>
    <w:rsid w:val="007E4396"/>
    <w:rsid w:val="007E6D0A"/>
    <w:rsid w:val="007E7DD9"/>
    <w:rsid w:val="007F2F53"/>
    <w:rsid w:val="007F3036"/>
    <w:rsid w:val="00804083"/>
    <w:rsid w:val="00804DC2"/>
    <w:rsid w:val="00806AB9"/>
    <w:rsid w:val="00807961"/>
    <w:rsid w:val="00810162"/>
    <w:rsid w:val="0081114B"/>
    <w:rsid w:val="00811900"/>
    <w:rsid w:val="0081542C"/>
    <w:rsid w:val="00817DBC"/>
    <w:rsid w:val="00821A09"/>
    <w:rsid w:val="008229D3"/>
    <w:rsid w:val="00822C91"/>
    <w:rsid w:val="00822F55"/>
    <w:rsid w:val="00824FBE"/>
    <w:rsid w:val="00832F12"/>
    <w:rsid w:val="008339FA"/>
    <w:rsid w:val="008362F6"/>
    <w:rsid w:val="008409AD"/>
    <w:rsid w:val="00844B38"/>
    <w:rsid w:val="008465F3"/>
    <w:rsid w:val="00847F4F"/>
    <w:rsid w:val="00850870"/>
    <w:rsid w:val="00853422"/>
    <w:rsid w:val="00862B91"/>
    <w:rsid w:val="00863C4C"/>
    <w:rsid w:val="00864934"/>
    <w:rsid w:val="00870983"/>
    <w:rsid w:val="008767C6"/>
    <w:rsid w:val="00880D2B"/>
    <w:rsid w:val="00885504"/>
    <w:rsid w:val="00886C70"/>
    <w:rsid w:val="008919A7"/>
    <w:rsid w:val="008956B5"/>
    <w:rsid w:val="00896D25"/>
    <w:rsid w:val="00897AC2"/>
    <w:rsid w:val="008A168C"/>
    <w:rsid w:val="008B290C"/>
    <w:rsid w:val="008D0494"/>
    <w:rsid w:val="008D3F94"/>
    <w:rsid w:val="008D7E22"/>
    <w:rsid w:val="008E2382"/>
    <w:rsid w:val="008E2572"/>
    <w:rsid w:val="008E59CC"/>
    <w:rsid w:val="008E7008"/>
    <w:rsid w:val="008E7CFD"/>
    <w:rsid w:val="008F007E"/>
    <w:rsid w:val="008F2C32"/>
    <w:rsid w:val="008F3429"/>
    <w:rsid w:val="008F4532"/>
    <w:rsid w:val="008F53B0"/>
    <w:rsid w:val="008F7785"/>
    <w:rsid w:val="00902938"/>
    <w:rsid w:val="00910E34"/>
    <w:rsid w:val="0091435E"/>
    <w:rsid w:val="009175AC"/>
    <w:rsid w:val="009214A2"/>
    <w:rsid w:val="00921A03"/>
    <w:rsid w:val="0092394A"/>
    <w:rsid w:val="0092405B"/>
    <w:rsid w:val="0093502F"/>
    <w:rsid w:val="009402BA"/>
    <w:rsid w:val="00944D0B"/>
    <w:rsid w:val="00945006"/>
    <w:rsid w:val="00950720"/>
    <w:rsid w:val="009538D9"/>
    <w:rsid w:val="00954404"/>
    <w:rsid w:val="00954BC8"/>
    <w:rsid w:val="00963E2A"/>
    <w:rsid w:val="0096451C"/>
    <w:rsid w:val="009655F0"/>
    <w:rsid w:val="00971257"/>
    <w:rsid w:val="00972896"/>
    <w:rsid w:val="009764D9"/>
    <w:rsid w:val="00981BD0"/>
    <w:rsid w:val="00990A12"/>
    <w:rsid w:val="009918BA"/>
    <w:rsid w:val="00995BAE"/>
    <w:rsid w:val="009A1208"/>
    <w:rsid w:val="009A1B16"/>
    <w:rsid w:val="009A7001"/>
    <w:rsid w:val="009B1692"/>
    <w:rsid w:val="009B37AD"/>
    <w:rsid w:val="009B65BD"/>
    <w:rsid w:val="009B77BF"/>
    <w:rsid w:val="009B7A16"/>
    <w:rsid w:val="009E5424"/>
    <w:rsid w:val="009F029A"/>
    <w:rsid w:val="009F0651"/>
    <w:rsid w:val="009F1306"/>
    <w:rsid w:val="009F2C14"/>
    <w:rsid w:val="009F3BDB"/>
    <w:rsid w:val="009F6E4E"/>
    <w:rsid w:val="00A02232"/>
    <w:rsid w:val="00A02F48"/>
    <w:rsid w:val="00A052D9"/>
    <w:rsid w:val="00A05776"/>
    <w:rsid w:val="00A078BA"/>
    <w:rsid w:val="00A1634A"/>
    <w:rsid w:val="00A20B30"/>
    <w:rsid w:val="00A21B56"/>
    <w:rsid w:val="00A221FC"/>
    <w:rsid w:val="00A232B8"/>
    <w:rsid w:val="00A26DA7"/>
    <w:rsid w:val="00A2784F"/>
    <w:rsid w:val="00A319C6"/>
    <w:rsid w:val="00A41CC9"/>
    <w:rsid w:val="00A4300F"/>
    <w:rsid w:val="00A448EE"/>
    <w:rsid w:val="00A45177"/>
    <w:rsid w:val="00A45F09"/>
    <w:rsid w:val="00A463CE"/>
    <w:rsid w:val="00A4684D"/>
    <w:rsid w:val="00A53479"/>
    <w:rsid w:val="00A54029"/>
    <w:rsid w:val="00A708CA"/>
    <w:rsid w:val="00A73934"/>
    <w:rsid w:val="00A75421"/>
    <w:rsid w:val="00A774BE"/>
    <w:rsid w:val="00A93401"/>
    <w:rsid w:val="00A95948"/>
    <w:rsid w:val="00A97A48"/>
    <w:rsid w:val="00AA0AE8"/>
    <w:rsid w:val="00AA16A4"/>
    <w:rsid w:val="00AA3D4D"/>
    <w:rsid w:val="00AA69FF"/>
    <w:rsid w:val="00AA6F30"/>
    <w:rsid w:val="00AB0548"/>
    <w:rsid w:val="00AD06A7"/>
    <w:rsid w:val="00AD46D7"/>
    <w:rsid w:val="00AD50F9"/>
    <w:rsid w:val="00AD5204"/>
    <w:rsid w:val="00AD718E"/>
    <w:rsid w:val="00AD75FD"/>
    <w:rsid w:val="00AE1828"/>
    <w:rsid w:val="00AE2A69"/>
    <w:rsid w:val="00AE2D2B"/>
    <w:rsid w:val="00AE48BB"/>
    <w:rsid w:val="00AF3D54"/>
    <w:rsid w:val="00AF6360"/>
    <w:rsid w:val="00B06846"/>
    <w:rsid w:val="00B100B5"/>
    <w:rsid w:val="00B16F36"/>
    <w:rsid w:val="00B170AD"/>
    <w:rsid w:val="00B210B5"/>
    <w:rsid w:val="00B250C8"/>
    <w:rsid w:val="00B275CA"/>
    <w:rsid w:val="00B31427"/>
    <w:rsid w:val="00B33EE0"/>
    <w:rsid w:val="00B343ED"/>
    <w:rsid w:val="00B3678D"/>
    <w:rsid w:val="00B36C1F"/>
    <w:rsid w:val="00B36DF3"/>
    <w:rsid w:val="00B475DC"/>
    <w:rsid w:val="00B55EF8"/>
    <w:rsid w:val="00B62693"/>
    <w:rsid w:val="00B63FA7"/>
    <w:rsid w:val="00B65BA1"/>
    <w:rsid w:val="00B67A64"/>
    <w:rsid w:val="00B703D0"/>
    <w:rsid w:val="00B74AF6"/>
    <w:rsid w:val="00B767C2"/>
    <w:rsid w:val="00B77F1D"/>
    <w:rsid w:val="00B8043A"/>
    <w:rsid w:val="00B811BC"/>
    <w:rsid w:val="00B818BD"/>
    <w:rsid w:val="00B821D7"/>
    <w:rsid w:val="00B8708F"/>
    <w:rsid w:val="00B87393"/>
    <w:rsid w:val="00B90D3E"/>
    <w:rsid w:val="00B9259B"/>
    <w:rsid w:val="00B9352F"/>
    <w:rsid w:val="00B9436A"/>
    <w:rsid w:val="00BA3E34"/>
    <w:rsid w:val="00BA55C1"/>
    <w:rsid w:val="00BA6D36"/>
    <w:rsid w:val="00BA75E7"/>
    <w:rsid w:val="00BB7C6F"/>
    <w:rsid w:val="00BC22AD"/>
    <w:rsid w:val="00BC45A5"/>
    <w:rsid w:val="00BD5D57"/>
    <w:rsid w:val="00BD7D9C"/>
    <w:rsid w:val="00BD7DA4"/>
    <w:rsid w:val="00BE2F99"/>
    <w:rsid w:val="00BE46CE"/>
    <w:rsid w:val="00BE5637"/>
    <w:rsid w:val="00BE680F"/>
    <w:rsid w:val="00BE7EBD"/>
    <w:rsid w:val="00C011CB"/>
    <w:rsid w:val="00C14D6C"/>
    <w:rsid w:val="00C173E2"/>
    <w:rsid w:val="00C25E8F"/>
    <w:rsid w:val="00C2704C"/>
    <w:rsid w:val="00C316EC"/>
    <w:rsid w:val="00C34563"/>
    <w:rsid w:val="00C35366"/>
    <w:rsid w:val="00C3592B"/>
    <w:rsid w:val="00C4705C"/>
    <w:rsid w:val="00C532B6"/>
    <w:rsid w:val="00C60B59"/>
    <w:rsid w:val="00C65ABE"/>
    <w:rsid w:val="00C7060B"/>
    <w:rsid w:val="00C74CD9"/>
    <w:rsid w:val="00C76050"/>
    <w:rsid w:val="00C82F66"/>
    <w:rsid w:val="00C846C2"/>
    <w:rsid w:val="00C87DD8"/>
    <w:rsid w:val="00C907DD"/>
    <w:rsid w:val="00C936AC"/>
    <w:rsid w:val="00C948E2"/>
    <w:rsid w:val="00CA0504"/>
    <w:rsid w:val="00CA12C3"/>
    <w:rsid w:val="00CA2218"/>
    <w:rsid w:val="00CB052F"/>
    <w:rsid w:val="00CB1CDA"/>
    <w:rsid w:val="00CB39DA"/>
    <w:rsid w:val="00CB4FDF"/>
    <w:rsid w:val="00CC1BAD"/>
    <w:rsid w:val="00CC5FAD"/>
    <w:rsid w:val="00CD1AC0"/>
    <w:rsid w:val="00CD3142"/>
    <w:rsid w:val="00CD3493"/>
    <w:rsid w:val="00CD4881"/>
    <w:rsid w:val="00CD6A45"/>
    <w:rsid w:val="00CE1B88"/>
    <w:rsid w:val="00CE2AC2"/>
    <w:rsid w:val="00CE4391"/>
    <w:rsid w:val="00CF5267"/>
    <w:rsid w:val="00CF71C3"/>
    <w:rsid w:val="00D024A0"/>
    <w:rsid w:val="00D02AB1"/>
    <w:rsid w:val="00D05517"/>
    <w:rsid w:val="00D133B5"/>
    <w:rsid w:val="00D170A9"/>
    <w:rsid w:val="00D20718"/>
    <w:rsid w:val="00D20F37"/>
    <w:rsid w:val="00D2291D"/>
    <w:rsid w:val="00D2411A"/>
    <w:rsid w:val="00D263E0"/>
    <w:rsid w:val="00D43196"/>
    <w:rsid w:val="00D47E61"/>
    <w:rsid w:val="00D51900"/>
    <w:rsid w:val="00D51FED"/>
    <w:rsid w:val="00D52A51"/>
    <w:rsid w:val="00D566E5"/>
    <w:rsid w:val="00D6145E"/>
    <w:rsid w:val="00D6298F"/>
    <w:rsid w:val="00D62BC4"/>
    <w:rsid w:val="00D64DC2"/>
    <w:rsid w:val="00D658FE"/>
    <w:rsid w:val="00D67CA0"/>
    <w:rsid w:val="00D74330"/>
    <w:rsid w:val="00D74C6C"/>
    <w:rsid w:val="00D82749"/>
    <w:rsid w:val="00D85AFF"/>
    <w:rsid w:val="00D8697B"/>
    <w:rsid w:val="00D92BBF"/>
    <w:rsid w:val="00D975F4"/>
    <w:rsid w:val="00DA034D"/>
    <w:rsid w:val="00DA2C37"/>
    <w:rsid w:val="00DB160A"/>
    <w:rsid w:val="00DB4F24"/>
    <w:rsid w:val="00DB56C2"/>
    <w:rsid w:val="00DB5F87"/>
    <w:rsid w:val="00DB65CA"/>
    <w:rsid w:val="00DC2AC6"/>
    <w:rsid w:val="00DC6C37"/>
    <w:rsid w:val="00DD1783"/>
    <w:rsid w:val="00DD25F9"/>
    <w:rsid w:val="00DE19B8"/>
    <w:rsid w:val="00DE1A16"/>
    <w:rsid w:val="00DE2106"/>
    <w:rsid w:val="00DE30F3"/>
    <w:rsid w:val="00DE3D43"/>
    <w:rsid w:val="00DE3FA6"/>
    <w:rsid w:val="00DE4938"/>
    <w:rsid w:val="00DF03D5"/>
    <w:rsid w:val="00DF076F"/>
    <w:rsid w:val="00DF2A56"/>
    <w:rsid w:val="00DF3053"/>
    <w:rsid w:val="00DF7483"/>
    <w:rsid w:val="00DF7BBA"/>
    <w:rsid w:val="00E04EBA"/>
    <w:rsid w:val="00E10760"/>
    <w:rsid w:val="00E119F9"/>
    <w:rsid w:val="00E202FE"/>
    <w:rsid w:val="00E24194"/>
    <w:rsid w:val="00E246E2"/>
    <w:rsid w:val="00E24E78"/>
    <w:rsid w:val="00E315B5"/>
    <w:rsid w:val="00E32673"/>
    <w:rsid w:val="00E34D81"/>
    <w:rsid w:val="00E35B49"/>
    <w:rsid w:val="00E455D0"/>
    <w:rsid w:val="00E465A4"/>
    <w:rsid w:val="00E46DD0"/>
    <w:rsid w:val="00E531CC"/>
    <w:rsid w:val="00E56131"/>
    <w:rsid w:val="00E61291"/>
    <w:rsid w:val="00E6409E"/>
    <w:rsid w:val="00E70201"/>
    <w:rsid w:val="00E7175C"/>
    <w:rsid w:val="00E728F2"/>
    <w:rsid w:val="00E74380"/>
    <w:rsid w:val="00E746C7"/>
    <w:rsid w:val="00E815B8"/>
    <w:rsid w:val="00E81C28"/>
    <w:rsid w:val="00E82EAB"/>
    <w:rsid w:val="00E83E8C"/>
    <w:rsid w:val="00E85E53"/>
    <w:rsid w:val="00E87036"/>
    <w:rsid w:val="00E93FD2"/>
    <w:rsid w:val="00EA34F7"/>
    <w:rsid w:val="00EA6971"/>
    <w:rsid w:val="00EA699E"/>
    <w:rsid w:val="00EB1C07"/>
    <w:rsid w:val="00EB1E7F"/>
    <w:rsid w:val="00EC1754"/>
    <w:rsid w:val="00EC3CD9"/>
    <w:rsid w:val="00EC46A9"/>
    <w:rsid w:val="00EC6F80"/>
    <w:rsid w:val="00ED24D9"/>
    <w:rsid w:val="00ED323F"/>
    <w:rsid w:val="00ED3389"/>
    <w:rsid w:val="00ED34A9"/>
    <w:rsid w:val="00ED3E75"/>
    <w:rsid w:val="00EE245D"/>
    <w:rsid w:val="00EE29D8"/>
    <w:rsid w:val="00EE46F7"/>
    <w:rsid w:val="00EE4B96"/>
    <w:rsid w:val="00EE6160"/>
    <w:rsid w:val="00EF3252"/>
    <w:rsid w:val="00EF3A35"/>
    <w:rsid w:val="00EF5078"/>
    <w:rsid w:val="00F12F10"/>
    <w:rsid w:val="00F14223"/>
    <w:rsid w:val="00F204D8"/>
    <w:rsid w:val="00F22997"/>
    <w:rsid w:val="00F268CB"/>
    <w:rsid w:val="00F2743F"/>
    <w:rsid w:val="00F304D2"/>
    <w:rsid w:val="00F30534"/>
    <w:rsid w:val="00F30DFF"/>
    <w:rsid w:val="00F43457"/>
    <w:rsid w:val="00F4526E"/>
    <w:rsid w:val="00F47D31"/>
    <w:rsid w:val="00F50281"/>
    <w:rsid w:val="00F5151B"/>
    <w:rsid w:val="00F53398"/>
    <w:rsid w:val="00F5445A"/>
    <w:rsid w:val="00F5594D"/>
    <w:rsid w:val="00F61D04"/>
    <w:rsid w:val="00F6274A"/>
    <w:rsid w:val="00F8184A"/>
    <w:rsid w:val="00F826A1"/>
    <w:rsid w:val="00F83387"/>
    <w:rsid w:val="00F83CB8"/>
    <w:rsid w:val="00F85278"/>
    <w:rsid w:val="00F85E1C"/>
    <w:rsid w:val="00F9145C"/>
    <w:rsid w:val="00F969CB"/>
    <w:rsid w:val="00F975A6"/>
    <w:rsid w:val="00FA4464"/>
    <w:rsid w:val="00FA5F5A"/>
    <w:rsid w:val="00FA663E"/>
    <w:rsid w:val="00FA6F43"/>
    <w:rsid w:val="00FB1EAF"/>
    <w:rsid w:val="00FB232D"/>
    <w:rsid w:val="00FB6B3C"/>
    <w:rsid w:val="00FB7793"/>
    <w:rsid w:val="00FC0FEF"/>
    <w:rsid w:val="00FC1097"/>
    <w:rsid w:val="00FC19A5"/>
    <w:rsid w:val="00FC1A0D"/>
    <w:rsid w:val="00FC3B5E"/>
    <w:rsid w:val="00FD007B"/>
    <w:rsid w:val="00FD5672"/>
    <w:rsid w:val="00FD770E"/>
    <w:rsid w:val="00FE0368"/>
    <w:rsid w:val="00FE48FC"/>
    <w:rsid w:val="00FE57C9"/>
    <w:rsid w:val="00FE61B0"/>
    <w:rsid w:val="00FE73D9"/>
    <w:rsid w:val="00FF0ABE"/>
    <w:rsid w:val="00FF7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69D2E6"/>
  <w15:docId w15:val="{C44EB8F0-7E40-47F3-98A4-BF1A2ED0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B7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B7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E616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E202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77B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B77B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E6160"/>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E202FE"/>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9B77BF"/>
    <w:pPr>
      <w:ind w:left="720"/>
      <w:contextualSpacing/>
    </w:pPr>
  </w:style>
  <w:style w:type="paragraph" w:styleId="Ingetavstnd">
    <w:name w:val="No Spacing"/>
    <w:link w:val="IngetavstndChar"/>
    <w:uiPriority w:val="1"/>
    <w:qFormat/>
    <w:rsid w:val="00114220"/>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114220"/>
    <w:rPr>
      <w:rFonts w:eastAsiaTheme="minorEastAsia"/>
      <w:lang w:eastAsia="sv-SE"/>
    </w:rPr>
  </w:style>
  <w:style w:type="paragraph" w:styleId="Ballongtext">
    <w:name w:val="Balloon Text"/>
    <w:basedOn w:val="Normal"/>
    <w:link w:val="BallongtextChar"/>
    <w:uiPriority w:val="99"/>
    <w:semiHidden/>
    <w:unhideWhenUsed/>
    <w:rsid w:val="0011422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4220"/>
    <w:rPr>
      <w:rFonts w:ascii="Tahoma" w:hAnsi="Tahoma" w:cs="Tahoma"/>
      <w:sz w:val="16"/>
      <w:szCs w:val="16"/>
    </w:rPr>
  </w:style>
  <w:style w:type="paragraph" w:styleId="Rubrik">
    <w:name w:val="Title"/>
    <w:basedOn w:val="Normal"/>
    <w:next w:val="Normal"/>
    <w:link w:val="RubrikChar"/>
    <w:uiPriority w:val="10"/>
    <w:qFormat/>
    <w:rsid w:val="001142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114220"/>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114220"/>
    <w:pPr>
      <w:numPr>
        <w:ilvl w:val="1"/>
      </w:numPr>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114220"/>
    <w:rPr>
      <w:rFonts w:asciiTheme="majorHAnsi" w:eastAsiaTheme="majorEastAsia" w:hAnsiTheme="majorHAnsi" w:cstheme="majorBidi"/>
      <w:i/>
      <w:iCs/>
      <w:color w:val="4F81BD" w:themeColor="accent1"/>
      <w:spacing w:val="15"/>
      <w:sz w:val="24"/>
      <w:szCs w:val="24"/>
      <w:lang w:eastAsia="sv-SE"/>
    </w:rPr>
  </w:style>
  <w:style w:type="paragraph" w:styleId="Innehllsfrteckningsrubrik">
    <w:name w:val="TOC Heading"/>
    <w:basedOn w:val="Rubrik1"/>
    <w:next w:val="Normal"/>
    <w:uiPriority w:val="39"/>
    <w:semiHidden/>
    <w:unhideWhenUsed/>
    <w:qFormat/>
    <w:rsid w:val="000618C3"/>
    <w:pPr>
      <w:outlineLvl w:val="9"/>
    </w:pPr>
    <w:rPr>
      <w:lang w:eastAsia="sv-SE"/>
    </w:rPr>
  </w:style>
  <w:style w:type="paragraph" w:styleId="Index1">
    <w:name w:val="index 1"/>
    <w:basedOn w:val="Normal"/>
    <w:next w:val="Normal"/>
    <w:autoRedefine/>
    <w:uiPriority w:val="99"/>
    <w:semiHidden/>
    <w:unhideWhenUsed/>
    <w:rsid w:val="000618C3"/>
    <w:pPr>
      <w:spacing w:after="0" w:line="240" w:lineRule="auto"/>
      <w:ind w:left="220" w:hanging="220"/>
    </w:pPr>
  </w:style>
  <w:style w:type="paragraph" w:styleId="Index2">
    <w:name w:val="index 2"/>
    <w:basedOn w:val="Normal"/>
    <w:next w:val="Normal"/>
    <w:autoRedefine/>
    <w:uiPriority w:val="99"/>
    <w:semiHidden/>
    <w:unhideWhenUsed/>
    <w:rsid w:val="000618C3"/>
    <w:pPr>
      <w:spacing w:after="0" w:line="240" w:lineRule="auto"/>
      <w:ind w:left="440" w:hanging="220"/>
    </w:pPr>
  </w:style>
  <w:style w:type="paragraph" w:styleId="Innehll1">
    <w:name w:val="toc 1"/>
    <w:basedOn w:val="Normal"/>
    <w:next w:val="Normal"/>
    <w:autoRedefine/>
    <w:uiPriority w:val="39"/>
    <w:unhideWhenUsed/>
    <w:rsid w:val="000618C3"/>
    <w:pPr>
      <w:spacing w:after="100"/>
    </w:pPr>
  </w:style>
  <w:style w:type="paragraph" w:styleId="Innehll2">
    <w:name w:val="toc 2"/>
    <w:basedOn w:val="Normal"/>
    <w:next w:val="Normal"/>
    <w:autoRedefine/>
    <w:uiPriority w:val="39"/>
    <w:unhideWhenUsed/>
    <w:rsid w:val="000618C3"/>
    <w:pPr>
      <w:spacing w:after="100"/>
      <w:ind w:left="220"/>
    </w:pPr>
  </w:style>
  <w:style w:type="paragraph" w:styleId="Innehll3">
    <w:name w:val="toc 3"/>
    <w:basedOn w:val="Normal"/>
    <w:next w:val="Normal"/>
    <w:autoRedefine/>
    <w:uiPriority w:val="39"/>
    <w:unhideWhenUsed/>
    <w:rsid w:val="000618C3"/>
    <w:pPr>
      <w:spacing w:after="100"/>
      <w:ind w:left="440"/>
    </w:pPr>
  </w:style>
  <w:style w:type="character" w:styleId="Hyperlnk">
    <w:name w:val="Hyperlink"/>
    <w:basedOn w:val="Standardstycketeckensnitt"/>
    <w:uiPriority w:val="99"/>
    <w:unhideWhenUsed/>
    <w:rsid w:val="000618C3"/>
    <w:rPr>
      <w:color w:val="0000FF" w:themeColor="hyperlink"/>
      <w:u w:val="single"/>
    </w:rPr>
  </w:style>
  <w:style w:type="paragraph" w:styleId="Sidhuvud">
    <w:name w:val="header"/>
    <w:basedOn w:val="Normal"/>
    <w:link w:val="SidhuvudChar"/>
    <w:uiPriority w:val="99"/>
    <w:unhideWhenUsed/>
    <w:rsid w:val="008919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19A7"/>
  </w:style>
  <w:style w:type="paragraph" w:styleId="Sidfot">
    <w:name w:val="footer"/>
    <w:basedOn w:val="Normal"/>
    <w:link w:val="SidfotChar"/>
    <w:uiPriority w:val="99"/>
    <w:unhideWhenUsed/>
    <w:rsid w:val="008919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19A7"/>
  </w:style>
  <w:style w:type="paragraph" w:styleId="Fotnotstext">
    <w:name w:val="footnote text"/>
    <w:basedOn w:val="Normal"/>
    <w:link w:val="FotnotstextChar"/>
    <w:uiPriority w:val="99"/>
    <w:unhideWhenUsed/>
    <w:rsid w:val="00863C4C"/>
    <w:pPr>
      <w:spacing w:after="0" w:line="240" w:lineRule="auto"/>
    </w:pPr>
    <w:rPr>
      <w:rFonts w:ascii="Times New Roman" w:eastAsia="Calibri" w:hAnsi="Times New Roman" w:cs="Times New Roman"/>
      <w:sz w:val="20"/>
      <w:szCs w:val="20"/>
    </w:rPr>
  </w:style>
  <w:style w:type="character" w:customStyle="1" w:styleId="FotnotstextChar">
    <w:name w:val="Fotnotstext Char"/>
    <w:basedOn w:val="Standardstycketeckensnitt"/>
    <w:link w:val="Fotnotstext"/>
    <w:uiPriority w:val="99"/>
    <w:rsid w:val="00863C4C"/>
    <w:rPr>
      <w:rFonts w:ascii="Times New Roman" w:eastAsia="Calibri" w:hAnsi="Times New Roman" w:cs="Times New Roman"/>
      <w:sz w:val="20"/>
      <w:szCs w:val="20"/>
    </w:rPr>
  </w:style>
  <w:style w:type="character" w:styleId="Fotnotsreferens">
    <w:name w:val="footnote reference"/>
    <w:basedOn w:val="Standardstycketeckensnitt"/>
    <w:uiPriority w:val="99"/>
    <w:unhideWhenUsed/>
    <w:rsid w:val="00863C4C"/>
    <w:rPr>
      <w:vertAlign w:val="superscript"/>
    </w:rPr>
  </w:style>
  <w:style w:type="table" w:styleId="Tabellrutnt">
    <w:name w:val="Table Grid"/>
    <w:basedOn w:val="Normaltabell"/>
    <w:uiPriority w:val="59"/>
    <w:rsid w:val="00AF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1310CE"/>
    <w:pPr>
      <w:spacing w:before="100" w:beforeAutospacing="1" w:after="150" w:line="240" w:lineRule="auto"/>
    </w:pPr>
    <w:rPr>
      <w:rFonts w:ascii="Times New Roman" w:hAnsi="Times New Roman" w:cs="Times New Roman"/>
      <w:sz w:val="21"/>
      <w:szCs w:val="21"/>
      <w:lang w:eastAsia="sv-SE"/>
    </w:rPr>
  </w:style>
  <w:style w:type="paragraph" w:customStyle="1" w:styleId="Default">
    <w:name w:val="Default"/>
    <w:basedOn w:val="Normal"/>
    <w:uiPriority w:val="99"/>
    <w:semiHidden/>
    <w:rsid w:val="001310CE"/>
    <w:pPr>
      <w:autoSpaceDE w:val="0"/>
      <w:autoSpaceDN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332CC9"/>
    <w:rPr>
      <w:sz w:val="16"/>
      <w:szCs w:val="16"/>
    </w:rPr>
  </w:style>
  <w:style w:type="paragraph" w:styleId="Kommentarer">
    <w:name w:val="annotation text"/>
    <w:basedOn w:val="Normal"/>
    <w:link w:val="KommentarerChar"/>
    <w:uiPriority w:val="99"/>
    <w:semiHidden/>
    <w:unhideWhenUsed/>
    <w:rsid w:val="00332CC9"/>
    <w:pPr>
      <w:spacing w:line="240" w:lineRule="auto"/>
    </w:pPr>
    <w:rPr>
      <w:sz w:val="20"/>
      <w:szCs w:val="20"/>
    </w:rPr>
  </w:style>
  <w:style w:type="character" w:customStyle="1" w:styleId="KommentarerChar">
    <w:name w:val="Kommentarer Char"/>
    <w:basedOn w:val="Standardstycketeckensnitt"/>
    <w:link w:val="Kommentarer"/>
    <w:uiPriority w:val="99"/>
    <w:semiHidden/>
    <w:rsid w:val="00332CC9"/>
    <w:rPr>
      <w:sz w:val="20"/>
      <w:szCs w:val="20"/>
    </w:rPr>
  </w:style>
  <w:style w:type="paragraph" w:styleId="Kommentarsmne">
    <w:name w:val="annotation subject"/>
    <w:basedOn w:val="Kommentarer"/>
    <w:next w:val="Kommentarer"/>
    <w:link w:val="KommentarsmneChar"/>
    <w:uiPriority w:val="99"/>
    <w:semiHidden/>
    <w:unhideWhenUsed/>
    <w:rsid w:val="00332CC9"/>
    <w:rPr>
      <w:b/>
      <w:bCs/>
    </w:rPr>
  </w:style>
  <w:style w:type="character" w:customStyle="1" w:styleId="KommentarsmneChar">
    <w:name w:val="Kommentarsämne Char"/>
    <w:basedOn w:val="KommentarerChar"/>
    <w:link w:val="Kommentarsmne"/>
    <w:uiPriority w:val="99"/>
    <w:semiHidden/>
    <w:rsid w:val="00332CC9"/>
    <w:rPr>
      <w:b/>
      <w:bCs/>
      <w:sz w:val="20"/>
      <w:szCs w:val="20"/>
    </w:rPr>
  </w:style>
  <w:style w:type="paragraph" w:styleId="Revision">
    <w:name w:val="Revision"/>
    <w:hidden/>
    <w:uiPriority w:val="99"/>
    <w:semiHidden/>
    <w:rsid w:val="00332CC9"/>
    <w:pPr>
      <w:spacing w:after="0" w:line="240" w:lineRule="auto"/>
    </w:pPr>
  </w:style>
  <w:style w:type="character" w:customStyle="1" w:styleId="st1">
    <w:name w:val="st1"/>
    <w:basedOn w:val="Standardstycketeckensnitt"/>
    <w:rsid w:val="00F83CB8"/>
  </w:style>
  <w:style w:type="paragraph" w:customStyle="1" w:styleId="Bildrubrik">
    <w:name w:val="Bildrubrik"/>
    <w:basedOn w:val="Normal"/>
    <w:qFormat/>
    <w:rsid w:val="00B9436A"/>
    <w:pPr>
      <w:ind w:left="360"/>
    </w:pPr>
  </w:style>
  <w:style w:type="character" w:customStyle="1" w:styleId="A6">
    <w:name w:val="A6"/>
    <w:uiPriority w:val="99"/>
    <w:rsid w:val="00E10760"/>
    <w:rPr>
      <w:rFonts w:cs="Hz Interstate ExtraLight"/>
      <w:color w:val="000000"/>
      <w:sz w:val="16"/>
      <w:szCs w:val="16"/>
    </w:rPr>
  </w:style>
  <w:style w:type="character" w:styleId="Stark">
    <w:name w:val="Strong"/>
    <w:basedOn w:val="Standardstycketeckensnitt"/>
    <w:uiPriority w:val="22"/>
    <w:qFormat/>
    <w:rsid w:val="00285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75">
      <w:bodyDiv w:val="1"/>
      <w:marLeft w:val="0"/>
      <w:marRight w:val="0"/>
      <w:marTop w:val="0"/>
      <w:marBottom w:val="0"/>
      <w:divBdr>
        <w:top w:val="none" w:sz="0" w:space="0" w:color="auto"/>
        <w:left w:val="none" w:sz="0" w:space="0" w:color="auto"/>
        <w:bottom w:val="none" w:sz="0" w:space="0" w:color="auto"/>
        <w:right w:val="none" w:sz="0" w:space="0" w:color="auto"/>
      </w:divBdr>
    </w:div>
    <w:div w:id="23943354">
      <w:bodyDiv w:val="1"/>
      <w:marLeft w:val="0"/>
      <w:marRight w:val="0"/>
      <w:marTop w:val="0"/>
      <w:marBottom w:val="0"/>
      <w:divBdr>
        <w:top w:val="none" w:sz="0" w:space="0" w:color="auto"/>
        <w:left w:val="none" w:sz="0" w:space="0" w:color="auto"/>
        <w:bottom w:val="none" w:sz="0" w:space="0" w:color="auto"/>
        <w:right w:val="none" w:sz="0" w:space="0" w:color="auto"/>
      </w:divBdr>
    </w:div>
    <w:div w:id="46801283">
      <w:bodyDiv w:val="1"/>
      <w:marLeft w:val="0"/>
      <w:marRight w:val="0"/>
      <w:marTop w:val="0"/>
      <w:marBottom w:val="0"/>
      <w:divBdr>
        <w:top w:val="none" w:sz="0" w:space="0" w:color="auto"/>
        <w:left w:val="none" w:sz="0" w:space="0" w:color="auto"/>
        <w:bottom w:val="none" w:sz="0" w:space="0" w:color="auto"/>
        <w:right w:val="none" w:sz="0" w:space="0" w:color="auto"/>
      </w:divBdr>
    </w:div>
    <w:div w:id="158159925">
      <w:bodyDiv w:val="1"/>
      <w:marLeft w:val="0"/>
      <w:marRight w:val="0"/>
      <w:marTop w:val="0"/>
      <w:marBottom w:val="0"/>
      <w:divBdr>
        <w:top w:val="none" w:sz="0" w:space="0" w:color="auto"/>
        <w:left w:val="none" w:sz="0" w:space="0" w:color="auto"/>
        <w:bottom w:val="none" w:sz="0" w:space="0" w:color="auto"/>
        <w:right w:val="none" w:sz="0" w:space="0" w:color="auto"/>
      </w:divBdr>
    </w:div>
    <w:div w:id="168953140">
      <w:bodyDiv w:val="1"/>
      <w:marLeft w:val="0"/>
      <w:marRight w:val="0"/>
      <w:marTop w:val="0"/>
      <w:marBottom w:val="0"/>
      <w:divBdr>
        <w:top w:val="none" w:sz="0" w:space="0" w:color="auto"/>
        <w:left w:val="none" w:sz="0" w:space="0" w:color="auto"/>
        <w:bottom w:val="none" w:sz="0" w:space="0" w:color="auto"/>
        <w:right w:val="none" w:sz="0" w:space="0" w:color="auto"/>
      </w:divBdr>
    </w:div>
    <w:div w:id="170872974">
      <w:bodyDiv w:val="1"/>
      <w:marLeft w:val="0"/>
      <w:marRight w:val="0"/>
      <w:marTop w:val="0"/>
      <w:marBottom w:val="0"/>
      <w:divBdr>
        <w:top w:val="none" w:sz="0" w:space="0" w:color="auto"/>
        <w:left w:val="none" w:sz="0" w:space="0" w:color="auto"/>
        <w:bottom w:val="none" w:sz="0" w:space="0" w:color="auto"/>
        <w:right w:val="none" w:sz="0" w:space="0" w:color="auto"/>
      </w:divBdr>
    </w:div>
    <w:div w:id="195047623">
      <w:bodyDiv w:val="1"/>
      <w:marLeft w:val="0"/>
      <w:marRight w:val="0"/>
      <w:marTop w:val="0"/>
      <w:marBottom w:val="0"/>
      <w:divBdr>
        <w:top w:val="none" w:sz="0" w:space="0" w:color="auto"/>
        <w:left w:val="none" w:sz="0" w:space="0" w:color="auto"/>
        <w:bottom w:val="none" w:sz="0" w:space="0" w:color="auto"/>
        <w:right w:val="none" w:sz="0" w:space="0" w:color="auto"/>
      </w:divBdr>
    </w:div>
    <w:div w:id="208500380">
      <w:bodyDiv w:val="1"/>
      <w:marLeft w:val="0"/>
      <w:marRight w:val="0"/>
      <w:marTop w:val="0"/>
      <w:marBottom w:val="0"/>
      <w:divBdr>
        <w:top w:val="none" w:sz="0" w:space="0" w:color="auto"/>
        <w:left w:val="none" w:sz="0" w:space="0" w:color="auto"/>
        <w:bottom w:val="none" w:sz="0" w:space="0" w:color="auto"/>
        <w:right w:val="none" w:sz="0" w:space="0" w:color="auto"/>
      </w:divBdr>
    </w:div>
    <w:div w:id="217009395">
      <w:bodyDiv w:val="1"/>
      <w:marLeft w:val="0"/>
      <w:marRight w:val="0"/>
      <w:marTop w:val="0"/>
      <w:marBottom w:val="0"/>
      <w:divBdr>
        <w:top w:val="none" w:sz="0" w:space="0" w:color="auto"/>
        <w:left w:val="none" w:sz="0" w:space="0" w:color="auto"/>
        <w:bottom w:val="none" w:sz="0" w:space="0" w:color="auto"/>
        <w:right w:val="none" w:sz="0" w:space="0" w:color="auto"/>
      </w:divBdr>
    </w:div>
    <w:div w:id="217862819">
      <w:bodyDiv w:val="1"/>
      <w:marLeft w:val="0"/>
      <w:marRight w:val="0"/>
      <w:marTop w:val="0"/>
      <w:marBottom w:val="0"/>
      <w:divBdr>
        <w:top w:val="none" w:sz="0" w:space="0" w:color="auto"/>
        <w:left w:val="none" w:sz="0" w:space="0" w:color="auto"/>
        <w:bottom w:val="none" w:sz="0" w:space="0" w:color="auto"/>
        <w:right w:val="none" w:sz="0" w:space="0" w:color="auto"/>
      </w:divBdr>
    </w:div>
    <w:div w:id="286132764">
      <w:bodyDiv w:val="1"/>
      <w:marLeft w:val="0"/>
      <w:marRight w:val="0"/>
      <w:marTop w:val="0"/>
      <w:marBottom w:val="0"/>
      <w:divBdr>
        <w:top w:val="none" w:sz="0" w:space="0" w:color="auto"/>
        <w:left w:val="none" w:sz="0" w:space="0" w:color="auto"/>
        <w:bottom w:val="none" w:sz="0" w:space="0" w:color="auto"/>
        <w:right w:val="none" w:sz="0" w:space="0" w:color="auto"/>
      </w:divBdr>
    </w:div>
    <w:div w:id="326173757">
      <w:bodyDiv w:val="1"/>
      <w:marLeft w:val="0"/>
      <w:marRight w:val="0"/>
      <w:marTop w:val="0"/>
      <w:marBottom w:val="0"/>
      <w:divBdr>
        <w:top w:val="none" w:sz="0" w:space="0" w:color="auto"/>
        <w:left w:val="none" w:sz="0" w:space="0" w:color="auto"/>
        <w:bottom w:val="none" w:sz="0" w:space="0" w:color="auto"/>
        <w:right w:val="none" w:sz="0" w:space="0" w:color="auto"/>
      </w:divBdr>
    </w:div>
    <w:div w:id="410009832">
      <w:bodyDiv w:val="1"/>
      <w:marLeft w:val="0"/>
      <w:marRight w:val="0"/>
      <w:marTop w:val="0"/>
      <w:marBottom w:val="0"/>
      <w:divBdr>
        <w:top w:val="none" w:sz="0" w:space="0" w:color="auto"/>
        <w:left w:val="none" w:sz="0" w:space="0" w:color="auto"/>
        <w:bottom w:val="none" w:sz="0" w:space="0" w:color="auto"/>
        <w:right w:val="none" w:sz="0" w:space="0" w:color="auto"/>
      </w:divBdr>
    </w:div>
    <w:div w:id="451023446">
      <w:bodyDiv w:val="1"/>
      <w:marLeft w:val="0"/>
      <w:marRight w:val="0"/>
      <w:marTop w:val="0"/>
      <w:marBottom w:val="0"/>
      <w:divBdr>
        <w:top w:val="none" w:sz="0" w:space="0" w:color="auto"/>
        <w:left w:val="none" w:sz="0" w:space="0" w:color="auto"/>
        <w:bottom w:val="none" w:sz="0" w:space="0" w:color="auto"/>
        <w:right w:val="none" w:sz="0" w:space="0" w:color="auto"/>
      </w:divBdr>
    </w:div>
    <w:div w:id="459542277">
      <w:bodyDiv w:val="1"/>
      <w:marLeft w:val="0"/>
      <w:marRight w:val="0"/>
      <w:marTop w:val="0"/>
      <w:marBottom w:val="0"/>
      <w:divBdr>
        <w:top w:val="none" w:sz="0" w:space="0" w:color="auto"/>
        <w:left w:val="none" w:sz="0" w:space="0" w:color="auto"/>
        <w:bottom w:val="none" w:sz="0" w:space="0" w:color="auto"/>
        <w:right w:val="none" w:sz="0" w:space="0" w:color="auto"/>
      </w:divBdr>
    </w:div>
    <w:div w:id="479004880">
      <w:bodyDiv w:val="1"/>
      <w:marLeft w:val="0"/>
      <w:marRight w:val="0"/>
      <w:marTop w:val="0"/>
      <w:marBottom w:val="0"/>
      <w:divBdr>
        <w:top w:val="none" w:sz="0" w:space="0" w:color="auto"/>
        <w:left w:val="none" w:sz="0" w:space="0" w:color="auto"/>
        <w:bottom w:val="none" w:sz="0" w:space="0" w:color="auto"/>
        <w:right w:val="none" w:sz="0" w:space="0" w:color="auto"/>
      </w:divBdr>
    </w:div>
    <w:div w:id="495801897">
      <w:bodyDiv w:val="1"/>
      <w:marLeft w:val="0"/>
      <w:marRight w:val="0"/>
      <w:marTop w:val="0"/>
      <w:marBottom w:val="0"/>
      <w:divBdr>
        <w:top w:val="none" w:sz="0" w:space="0" w:color="auto"/>
        <w:left w:val="none" w:sz="0" w:space="0" w:color="auto"/>
        <w:bottom w:val="none" w:sz="0" w:space="0" w:color="auto"/>
        <w:right w:val="none" w:sz="0" w:space="0" w:color="auto"/>
      </w:divBdr>
    </w:div>
    <w:div w:id="512691745">
      <w:bodyDiv w:val="1"/>
      <w:marLeft w:val="0"/>
      <w:marRight w:val="0"/>
      <w:marTop w:val="0"/>
      <w:marBottom w:val="0"/>
      <w:divBdr>
        <w:top w:val="none" w:sz="0" w:space="0" w:color="auto"/>
        <w:left w:val="none" w:sz="0" w:space="0" w:color="auto"/>
        <w:bottom w:val="none" w:sz="0" w:space="0" w:color="auto"/>
        <w:right w:val="none" w:sz="0" w:space="0" w:color="auto"/>
      </w:divBdr>
    </w:div>
    <w:div w:id="536623696">
      <w:bodyDiv w:val="1"/>
      <w:marLeft w:val="0"/>
      <w:marRight w:val="0"/>
      <w:marTop w:val="0"/>
      <w:marBottom w:val="0"/>
      <w:divBdr>
        <w:top w:val="none" w:sz="0" w:space="0" w:color="auto"/>
        <w:left w:val="none" w:sz="0" w:space="0" w:color="auto"/>
        <w:bottom w:val="none" w:sz="0" w:space="0" w:color="auto"/>
        <w:right w:val="none" w:sz="0" w:space="0" w:color="auto"/>
      </w:divBdr>
    </w:div>
    <w:div w:id="616571108">
      <w:bodyDiv w:val="1"/>
      <w:marLeft w:val="0"/>
      <w:marRight w:val="0"/>
      <w:marTop w:val="0"/>
      <w:marBottom w:val="0"/>
      <w:divBdr>
        <w:top w:val="none" w:sz="0" w:space="0" w:color="auto"/>
        <w:left w:val="none" w:sz="0" w:space="0" w:color="auto"/>
        <w:bottom w:val="none" w:sz="0" w:space="0" w:color="auto"/>
        <w:right w:val="none" w:sz="0" w:space="0" w:color="auto"/>
      </w:divBdr>
    </w:div>
    <w:div w:id="648438503">
      <w:bodyDiv w:val="1"/>
      <w:marLeft w:val="0"/>
      <w:marRight w:val="0"/>
      <w:marTop w:val="0"/>
      <w:marBottom w:val="0"/>
      <w:divBdr>
        <w:top w:val="none" w:sz="0" w:space="0" w:color="auto"/>
        <w:left w:val="none" w:sz="0" w:space="0" w:color="auto"/>
        <w:bottom w:val="none" w:sz="0" w:space="0" w:color="auto"/>
        <w:right w:val="none" w:sz="0" w:space="0" w:color="auto"/>
      </w:divBdr>
    </w:div>
    <w:div w:id="673803570">
      <w:bodyDiv w:val="1"/>
      <w:marLeft w:val="0"/>
      <w:marRight w:val="0"/>
      <w:marTop w:val="0"/>
      <w:marBottom w:val="0"/>
      <w:divBdr>
        <w:top w:val="none" w:sz="0" w:space="0" w:color="auto"/>
        <w:left w:val="none" w:sz="0" w:space="0" w:color="auto"/>
        <w:bottom w:val="none" w:sz="0" w:space="0" w:color="auto"/>
        <w:right w:val="none" w:sz="0" w:space="0" w:color="auto"/>
      </w:divBdr>
    </w:div>
    <w:div w:id="676156175">
      <w:bodyDiv w:val="1"/>
      <w:marLeft w:val="0"/>
      <w:marRight w:val="0"/>
      <w:marTop w:val="0"/>
      <w:marBottom w:val="0"/>
      <w:divBdr>
        <w:top w:val="none" w:sz="0" w:space="0" w:color="auto"/>
        <w:left w:val="none" w:sz="0" w:space="0" w:color="auto"/>
        <w:bottom w:val="none" w:sz="0" w:space="0" w:color="auto"/>
        <w:right w:val="none" w:sz="0" w:space="0" w:color="auto"/>
      </w:divBdr>
    </w:div>
    <w:div w:id="677000189">
      <w:bodyDiv w:val="1"/>
      <w:marLeft w:val="0"/>
      <w:marRight w:val="0"/>
      <w:marTop w:val="0"/>
      <w:marBottom w:val="0"/>
      <w:divBdr>
        <w:top w:val="none" w:sz="0" w:space="0" w:color="auto"/>
        <w:left w:val="none" w:sz="0" w:space="0" w:color="auto"/>
        <w:bottom w:val="none" w:sz="0" w:space="0" w:color="auto"/>
        <w:right w:val="none" w:sz="0" w:space="0" w:color="auto"/>
      </w:divBdr>
    </w:div>
    <w:div w:id="780685432">
      <w:bodyDiv w:val="1"/>
      <w:marLeft w:val="0"/>
      <w:marRight w:val="0"/>
      <w:marTop w:val="0"/>
      <w:marBottom w:val="0"/>
      <w:divBdr>
        <w:top w:val="none" w:sz="0" w:space="0" w:color="auto"/>
        <w:left w:val="none" w:sz="0" w:space="0" w:color="auto"/>
        <w:bottom w:val="none" w:sz="0" w:space="0" w:color="auto"/>
        <w:right w:val="none" w:sz="0" w:space="0" w:color="auto"/>
      </w:divBdr>
    </w:div>
    <w:div w:id="803693133">
      <w:bodyDiv w:val="1"/>
      <w:marLeft w:val="0"/>
      <w:marRight w:val="0"/>
      <w:marTop w:val="0"/>
      <w:marBottom w:val="0"/>
      <w:divBdr>
        <w:top w:val="none" w:sz="0" w:space="0" w:color="auto"/>
        <w:left w:val="none" w:sz="0" w:space="0" w:color="auto"/>
        <w:bottom w:val="none" w:sz="0" w:space="0" w:color="auto"/>
        <w:right w:val="none" w:sz="0" w:space="0" w:color="auto"/>
      </w:divBdr>
    </w:div>
    <w:div w:id="824974320">
      <w:bodyDiv w:val="1"/>
      <w:marLeft w:val="0"/>
      <w:marRight w:val="0"/>
      <w:marTop w:val="0"/>
      <w:marBottom w:val="0"/>
      <w:divBdr>
        <w:top w:val="none" w:sz="0" w:space="0" w:color="auto"/>
        <w:left w:val="none" w:sz="0" w:space="0" w:color="auto"/>
        <w:bottom w:val="none" w:sz="0" w:space="0" w:color="auto"/>
        <w:right w:val="none" w:sz="0" w:space="0" w:color="auto"/>
      </w:divBdr>
    </w:div>
    <w:div w:id="861211890">
      <w:bodyDiv w:val="1"/>
      <w:marLeft w:val="0"/>
      <w:marRight w:val="0"/>
      <w:marTop w:val="0"/>
      <w:marBottom w:val="0"/>
      <w:divBdr>
        <w:top w:val="none" w:sz="0" w:space="0" w:color="auto"/>
        <w:left w:val="none" w:sz="0" w:space="0" w:color="auto"/>
        <w:bottom w:val="none" w:sz="0" w:space="0" w:color="auto"/>
        <w:right w:val="none" w:sz="0" w:space="0" w:color="auto"/>
      </w:divBdr>
    </w:div>
    <w:div w:id="864178041">
      <w:bodyDiv w:val="1"/>
      <w:marLeft w:val="0"/>
      <w:marRight w:val="0"/>
      <w:marTop w:val="0"/>
      <w:marBottom w:val="0"/>
      <w:divBdr>
        <w:top w:val="none" w:sz="0" w:space="0" w:color="auto"/>
        <w:left w:val="none" w:sz="0" w:space="0" w:color="auto"/>
        <w:bottom w:val="none" w:sz="0" w:space="0" w:color="auto"/>
        <w:right w:val="none" w:sz="0" w:space="0" w:color="auto"/>
      </w:divBdr>
    </w:div>
    <w:div w:id="926422241">
      <w:bodyDiv w:val="1"/>
      <w:marLeft w:val="0"/>
      <w:marRight w:val="0"/>
      <w:marTop w:val="0"/>
      <w:marBottom w:val="0"/>
      <w:divBdr>
        <w:top w:val="none" w:sz="0" w:space="0" w:color="auto"/>
        <w:left w:val="none" w:sz="0" w:space="0" w:color="auto"/>
        <w:bottom w:val="none" w:sz="0" w:space="0" w:color="auto"/>
        <w:right w:val="none" w:sz="0" w:space="0" w:color="auto"/>
      </w:divBdr>
    </w:div>
    <w:div w:id="985932820">
      <w:bodyDiv w:val="1"/>
      <w:marLeft w:val="0"/>
      <w:marRight w:val="0"/>
      <w:marTop w:val="0"/>
      <w:marBottom w:val="0"/>
      <w:divBdr>
        <w:top w:val="none" w:sz="0" w:space="0" w:color="auto"/>
        <w:left w:val="none" w:sz="0" w:space="0" w:color="auto"/>
        <w:bottom w:val="none" w:sz="0" w:space="0" w:color="auto"/>
        <w:right w:val="none" w:sz="0" w:space="0" w:color="auto"/>
      </w:divBdr>
    </w:div>
    <w:div w:id="995649455">
      <w:bodyDiv w:val="1"/>
      <w:marLeft w:val="0"/>
      <w:marRight w:val="0"/>
      <w:marTop w:val="0"/>
      <w:marBottom w:val="0"/>
      <w:divBdr>
        <w:top w:val="none" w:sz="0" w:space="0" w:color="auto"/>
        <w:left w:val="none" w:sz="0" w:space="0" w:color="auto"/>
        <w:bottom w:val="none" w:sz="0" w:space="0" w:color="auto"/>
        <w:right w:val="none" w:sz="0" w:space="0" w:color="auto"/>
      </w:divBdr>
    </w:div>
    <w:div w:id="1055203544">
      <w:bodyDiv w:val="1"/>
      <w:marLeft w:val="0"/>
      <w:marRight w:val="0"/>
      <w:marTop w:val="0"/>
      <w:marBottom w:val="0"/>
      <w:divBdr>
        <w:top w:val="none" w:sz="0" w:space="0" w:color="auto"/>
        <w:left w:val="none" w:sz="0" w:space="0" w:color="auto"/>
        <w:bottom w:val="none" w:sz="0" w:space="0" w:color="auto"/>
        <w:right w:val="none" w:sz="0" w:space="0" w:color="auto"/>
      </w:divBdr>
    </w:div>
    <w:div w:id="1078526540">
      <w:bodyDiv w:val="1"/>
      <w:marLeft w:val="0"/>
      <w:marRight w:val="0"/>
      <w:marTop w:val="0"/>
      <w:marBottom w:val="0"/>
      <w:divBdr>
        <w:top w:val="none" w:sz="0" w:space="0" w:color="auto"/>
        <w:left w:val="none" w:sz="0" w:space="0" w:color="auto"/>
        <w:bottom w:val="none" w:sz="0" w:space="0" w:color="auto"/>
        <w:right w:val="none" w:sz="0" w:space="0" w:color="auto"/>
      </w:divBdr>
    </w:div>
    <w:div w:id="1119255817">
      <w:bodyDiv w:val="1"/>
      <w:marLeft w:val="0"/>
      <w:marRight w:val="0"/>
      <w:marTop w:val="0"/>
      <w:marBottom w:val="0"/>
      <w:divBdr>
        <w:top w:val="none" w:sz="0" w:space="0" w:color="auto"/>
        <w:left w:val="none" w:sz="0" w:space="0" w:color="auto"/>
        <w:bottom w:val="none" w:sz="0" w:space="0" w:color="auto"/>
        <w:right w:val="none" w:sz="0" w:space="0" w:color="auto"/>
      </w:divBdr>
    </w:div>
    <w:div w:id="1129785683">
      <w:bodyDiv w:val="1"/>
      <w:marLeft w:val="0"/>
      <w:marRight w:val="0"/>
      <w:marTop w:val="0"/>
      <w:marBottom w:val="0"/>
      <w:divBdr>
        <w:top w:val="none" w:sz="0" w:space="0" w:color="auto"/>
        <w:left w:val="none" w:sz="0" w:space="0" w:color="auto"/>
        <w:bottom w:val="none" w:sz="0" w:space="0" w:color="auto"/>
        <w:right w:val="none" w:sz="0" w:space="0" w:color="auto"/>
      </w:divBdr>
    </w:div>
    <w:div w:id="1159268431">
      <w:bodyDiv w:val="1"/>
      <w:marLeft w:val="0"/>
      <w:marRight w:val="0"/>
      <w:marTop w:val="0"/>
      <w:marBottom w:val="0"/>
      <w:divBdr>
        <w:top w:val="none" w:sz="0" w:space="0" w:color="auto"/>
        <w:left w:val="none" w:sz="0" w:space="0" w:color="auto"/>
        <w:bottom w:val="none" w:sz="0" w:space="0" w:color="auto"/>
        <w:right w:val="none" w:sz="0" w:space="0" w:color="auto"/>
      </w:divBdr>
    </w:div>
    <w:div w:id="1188906097">
      <w:bodyDiv w:val="1"/>
      <w:marLeft w:val="0"/>
      <w:marRight w:val="0"/>
      <w:marTop w:val="0"/>
      <w:marBottom w:val="0"/>
      <w:divBdr>
        <w:top w:val="none" w:sz="0" w:space="0" w:color="auto"/>
        <w:left w:val="none" w:sz="0" w:space="0" w:color="auto"/>
        <w:bottom w:val="none" w:sz="0" w:space="0" w:color="auto"/>
        <w:right w:val="none" w:sz="0" w:space="0" w:color="auto"/>
      </w:divBdr>
    </w:div>
    <w:div w:id="1197231392">
      <w:bodyDiv w:val="1"/>
      <w:marLeft w:val="0"/>
      <w:marRight w:val="0"/>
      <w:marTop w:val="0"/>
      <w:marBottom w:val="0"/>
      <w:divBdr>
        <w:top w:val="none" w:sz="0" w:space="0" w:color="auto"/>
        <w:left w:val="none" w:sz="0" w:space="0" w:color="auto"/>
        <w:bottom w:val="none" w:sz="0" w:space="0" w:color="auto"/>
        <w:right w:val="none" w:sz="0" w:space="0" w:color="auto"/>
      </w:divBdr>
    </w:div>
    <w:div w:id="1200238978">
      <w:bodyDiv w:val="1"/>
      <w:marLeft w:val="0"/>
      <w:marRight w:val="0"/>
      <w:marTop w:val="0"/>
      <w:marBottom w:val="0"/>
      <w:divBdr>
        <w:top w:val="none" w:sz="0" w:space="0" w:color="auto"/>
        <w:left w:val="none" w:sz="0" w:space="0" w:color="auto"/>
        <w:bottom w:val="none" w:sz="0" w:space="0" w:color="auto"/>
        <w:right w:val="none" w:sz="0" w:space="0" w:color="auto"/>
      </w:divBdr>
    </w:div>
    <w:div w:id="1224562103">
      <w:bodyDiv w:val="1"/>
      <w:marLeft w:val="0"/>
      <w:marRight w:val="0"/>
      <w:marTop w:val="0"/>
      <w:marBottom w:val="0"/>
      <w:divBdr>
        <w:top w:val="none" w:sz="0" w:space="0" w:color="auto"/>
        <w:left w:val="none" w:sz="0" w:space="0" w:color="auto"/>
        <w:bottom w:val="none" w:sz="0" w:space="0" w:color="auto"/>
        <w:right w:val="none" w:sz="0" w:space="0" w:color="auto"/>
      </w:divBdr>
    </w:div>
    <w:div w:id="1249459059">
      <w:bodyDiv w:val="1"/>
      <w:marLeft w:val="0"/>
      <w:marRight w:val="0"/>
      <w:marTop w:val="0"/>
      <w:marBottom w:val="0"/>
      <w:divBdr>
        <w:top w:val="none" w:sz="0" w:space="0" w:color="auto"/>
        <w:left w:val="none" w:sz="0" w:space="0" w:color="auto"/>
        <w:bottom w:val="none" w:sz="0" w:space="0" w:color="auto"/>
        <w:right w:val="none" w:sz="0" w:space="0" w:color="auto"/>
      </w:divBdr>
    </w:div>
    <w:div w:id="1251310946">
      <w:bodyDiv w:val="1"/>
      <w:marLeft w:val="0"/>
      <w:marRight w:val="0"/>
      <w:marTop w:val="0"/>
      <w:marBottom w:val="0"/>
      <w:divBdr>
        <w:top w:val="none" w:sz="0" w:space="0" w:color="auto"/>
        <w:left w:val="none" w:sz="0" w:space="0" w:color="auto"/>
        <w:bottom w:val="none" w:sz="0" w:space="0" w:color="auto"/>
        <w:right w:val="none" w:sz="0" w:space="0" w:color="auto"/>
      </w:divBdr>
    </w:div>
    <w:div w:id="1304043158">
      <w:bodyDiv w:val="1"/>
      <w:marLeft w:val="0"/>
      <w:marRight w:val="0"/>
      <w:marTop w:val="0"/>
      <w:marBottom w:val="0"/>
      <w:divBdr>
        <w:top w:val="none" w:sz="0" w:space="0" w:color="auto"/>
        <w:left w:val="none" w:sz="0" w:space="0" w:color="auto"/>
        <w:bottom w:val="none" w:sz="0" w:space="0" w:color="auto"/>
        <w:right w:val="none" w:sz="0" w:space="0" w:color="auto"/>
      </w:divBdr>
      <w:divsChild>
        <w:div w:id="2075471016">
          <w:marLeft w:val="0"/>
          <w:marRight w:val="0"/>
          <w:marTop w:val="0"/>
          <w:marBottom w:val="0"/>
          <w:divBdr>
            <w:top w:val="none" w:sz="0" w:space="0" w:color="auto"/>
            <w:left w:val="none" w:sz="0" w:space="0" w:color="auto"/>
            <w:bottom w:val="none" w:sz="0" w:space="0" w:color="auto"/>
            <w:right w:val="none" w:sz="0" w:space="0" w:color="auto"/>
          </w:divBdr>
          <w:divsChild>
            <w:div w:id="1314990993">
              <w:marLeft w:val="0"/>
              <w:marRight w:val="0"/>
              <w:marTop w:val="0"/>
              <w:marBottom w:val="0"/>
              <w:divBdr>
                <w:top w:val="none" w:sz="0" w:space="0" w:color="auto"/>
                <w:left w:val="none" w:sz="0" w:space="0" w:color="auto"/>
                <w:bottom w:val="none" w:sz="0" w:space="0" w:color="auto"/>
                <w:right w:val="none" w:sz="0" w:space="0" w:color="auto"/>
              </w:divBdr>
              <w:divsChild>
                <w:div w:id="20592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1882">
      <w:bodyDiv w:val="1"/>
      <w:marLeft w:val="0"/>
      <w:marRight w:val="0"/>
      <w:marTop w:val="0"/>
      <w:marBottom w:val="0"/>
      <w:divBdr>
        <w:top w:val="none" w:sz="0" w:space="0" w:color="auto"/>
        <w:left w:val="none" w:sz="0" w:space="0" w:color="auto"/>
        <w:bottom w:val="none" w:sz="0" w:space="0" w:color="auto"/>
        <w:right w:val="none" w:sz="0" w:space="0" w:color="auto"/>
      </w:divBdr>
    </w:div>
    <w:div w:id="1388262598">
      <w:bodyDiv w:val="1"/>
      <w:marLeft w:val="0"/>
      <w:marRight w:val="0"/>
      <w:marTop w:val="0"/>
      <w:marBottom w:val="0"/>
      <w:divBdr>
        <w:top w:val="none" w:sz="0" w:space="0" w:color="auto"/>
        <w:left w:val="none" w:sz="0" w:space="0" w:color="auto"/>
        <w:bottom w:val="none" w:sz="0" w:space="0" w:color="auto"/>
        <w:right w:val="none" w:sz="0" w:space="0" w:color="auto"/>
      </w:divBdr>
    </w:div>
    <w:div w:id="1399592949">
      <w:bodyDiv w:val="1"/>
      <w:marLeft w:val="0"/>
      <w:marRight w:val="0"/>
      <w:marTop w:val="0"/>
      <w:marBottom w:val="0"/>
      <w:divBdr>
        <w:top w:val="none" w:sz="0" w:space="0" w:color="auto"/>
        <w:left w:val="none" w:sz="0" w:space="0" w:color="auto"/>
        <w:bottom w:val="none" w:sz="0" w:space="0" w:color="auto"/>
        <w:right w:val="none" w:sz="0" w:space="0" w:color="auto"/>
      </w:divBdr>
    </w:div>
    <w:div w:id="1431004759">
      <w:bodyDiv w:val="1"/>
      <w:marLeft w:val="0"/>
      <w:marRight w:val="0"/>
      <w:marTop w:val="0"/>
      <w:marBottom w:val="0"/>
      <w:divBdr>
        <w:top w:val="none" w:sz="0" w:space="0" w:color="auto"/>
        <w:left w:val="none" w:sz="0" w:space="0" w:color="auto"/>
        <w:bottom w:val="none" w:sz="0" w:space="0" w:color="auto"/>
        <w:right w:val="none" w:sz="0" w:space="0" w:color="auto"/>
      </w:divBdr>
    </w:div>
    <w:div w:id="1432310703">
      <w:bodyDiv w:val="1"/>
      <w:marLeft w:val="0"/>
      <w:marRight w:val="0"/>
      <w:marTop w:val="0"/>
      <w:marBottom w:val="0"/>
      <w:divBdr>
        <w:top w:val="none" w:sz="0" w:space="0" w:color="auto"/>
        <w:left w:val="none" w:sz="0" w:space="0" w:color="auto"/>
        <w:bottom w:val="none" w:sz="0" w:space="0" w:color="auto"/>
        <w:right w:val="none" w:sz="0" w:space="0" w:color="auto"/>
      </w:divBdr>
    </w:div>
    <w:div w:id="1444497381">
      <w:bodyDiv w:val="1"/>
      <w:marLeft w:val="0"/>
      <w:marRight w:val="0"/>
      <w:marTop w:val="0"/>
      <w:marBottom w:val="0"/>
      <w:divBdr>
        <w:top w:val="none" w:sz="0" w:space="0" w:color="auto"/>
        <w:left w:val="none" w:sz="0" w:space="0" w:color="auto"/>
        <w:bottom w:val="none" w:sz="0" w:space="0" w:color="auto"/>
        <w:right w:val="none" w:sz="0" w:space="0" w:color="auto"/>
      </w:divBdr>
    </w:div>
    <w:div w:id="1445887404">
      <w:bodyDiv w:val="1"/>
      <w:marLeft w:val="0"/>
      <w:marRight w:val="0"/>
      <w:marTop w:val="0"/>
      <w:marBottom w:val="0"/>
      <w:divBdr>
        <w:top w:val="none" w:sz="0" w:space="0" w:color="auto"/>
        <w:left w:val="none" w:sz="0" w:space="0" w:color="auto"/>
        <w:bottom w:val="none" w:sz="0" w:space="0" w:color="auto"/>
        <w:right w:val="none" w:sz="0" w:space="0" w:color="auto"/>
      </w:divBdr>
    </w:div>
    <w:div w:id="1468862292">
      <w:bodyDiv w:val="1"/>
      <w:marLeft w:val="0"/>
      <w:marRight w:val="0"/>
      <w:marTop w:val="0"/>
      <w:marBottom w:val="0"/>
      <w:divBdr>
        <w:top w:val="none" w:sz="0" w:space="0" w:color="auto"/>
        <w:left w:val="none" w:sz="0" w:space="0" w:color="auto"/>
        <w:bottom w:val="none" w:sz="0" w:space="0" w:color="auto"/>
        <w:right w:val="none" w:sz="0" w:space="0" w:color="auto"/>
      </w:divBdr>
    </w:div>
    <w:div w:id="1469854555">
      <w:bodyDiv w:val="1"/>
      <w:marLeft w:val="0"/>
      <w:marRight w:val="0"/>
      <w:marTop w:val="0"/>
      <w:marBottom w:val="0"/>
      <w:divBdr>
        <w:top w:val="none" w:sz="0" w:space="0" w:color="auto"/>
        <w:left w:val="none" w:sz="0" w:space="0" w:color="auto"/>
        <w:bottom w:val="none" w:sz="0" w:space="0" w:color="auto"/>
        <w:right w:val="none" w:sz="0" w:space="0" w:color="auto"/>
      </w:divBdr>
    </w:div>
    <w:div w:id="1473792108">
      <w:bodyDiv w:val="1"/>
      <w:marLeft w:val="0"/>
      <w:marRight w:val="0"/>
      <w:marTop w:val="0"/>
      <w:marBottom w:val="0"/>
      <w:divBdr>
        <w:top w:val="none" w:sz="0" w:space="0" w:color="auto"/>
        <w:left w:val="none" w:sz="0" w:space="0" w:color="auto"/>
        <w:bottom w:val="none" w:sz="0" w:space="0" w:color="auto"/>
        <w:right w:val="none" w:sz="0" w:space="0" w:color="auto"/>
      </w:divBdr>
    </w:div>
    <w:div w:id="1484811338">
      <w:bodyDiv w:val="1"/>
      <w:marLeft w:val="0"/>
      <w:marRight w:val="0"/>
      <w:marTop w:val="0"/>
      <w:marBottom w:val="0"/>
      <w:divBdr>
        <w:top w:val="none" w:sz="0" w:space="0" w:color="auto"/>
        <w:left w:val="none" w:sz="0" w:space="0" w:color="auto"/>
        <w:bottom w:val="none" w:sz="0" w:space="0" w:color="auto"/>
        <w:right w:val="none" w:sz="0" w:space="0" w:color="auto"/>
      </w:divBdr>
    </w:div>
    <w:div w:id="1578856885">
      <w:bodyDiv w:val="1"/>
      <w:marLeft w:val="0"/>
      <w:marRight w:val="0"/>
      <w:marTop w:val="0"/>
      <w:marBottom w:val="0"/>
      <w:divBdr>
        <w:top w:val="none" w:sz="0" w:space="0" w:color="auto"/>
        <w:left w:val="none" w:sz="0" w:space="0" w:color="auto"/>
        <w:bottom w:val="none" w:sz="0" w:space="0" w:color="auto"/>
        <w:right w:val="none" w:sz="0" w:space="0" w:color="auto"/>
      </w:divBdr>
    </w:div>
    <w:div w:id="1590040143">
      <w:bodyDiv w:val="1"/>
      <w:marLeft w:val="0"/>
      <w:marRight w:val="0"/>
      <w:marTop w:val="0"/>
      <w:marBottom w:val="0"/>
      <w:divBdr>
        <w:top w:val="none" w:sz="0" w:space="0" w:color="auto"/>
        <w:left w:val="none" w:sz="0" w:space="0" w:color="auto"/>
        <w:bottom w:val="none" w:sz="0" w:space="0" w:color="auto"/>
        <w:right w:val="none" w:sz="0" w:space="0" w:color="auto"/>
      </w:divBdr>
    </w:div>
    <w:div w:id="1625890566">
      <w:bodyDiv w:val="1"/>
      <w:marLeft w:val="0"/>
      <w:marRight w:val="0"/>
      <w:marTop w:val="0"/>
      <w:marBottom w:val="0"/>
      <w:divBdr>
        <w:top w:val="none" w:sz="0" w:space="0" w:color="auto"/>
        <w:left w:val="none" w:sz="0" w:space="0" w:color="auto"/>
        <w:bottom w:val="none" w:sz="0" w:space="0" w:color="auto"/>
        <w:right w:val="none" w:sz="0" w:space="0" w:color="auto"/>
      </w:divBdr>
    </w:div>
    <w:div w:id="1653557312">
      <w:bodyDiv w:val="1"/>
      <w:marLeft w:val="0"/>
      <w:marRight w:val="0"/>
      <w:marTop w:val="0"/>
      <w:marBottom w:val="0"/>
      <w:divBdr>
        <w:top w:val="none" w:sz="0" w:space="0" w:color="auto"/>
        <w:left w:val="none" w:sz="0" w:space="0" w:color="auto"/>
        <w:bottom w:val="none" w:sz="0" w:space="0" w:color="auto"/>
        <w:right w:val="none" w:sz="0" w:space="0" w:color="auto"/>
      </w:divBdr>
    </w:div>
    <w:div w:id="1669404239">
      <w:bodyDiv w:val="1"/>
      <w:marLeft w:val="0"/>
      <w:marRight w:val="0"/>
      <w:marTop w:val="0"/>
      <w:marBottom w:val="0"/>
      <w:divBdr>
        <w:top w:val="none" w:sz="0" w:space="0" w:color="auto"/>
        <w:left w:val="none" w:sz="0" w:space="0" w:color="auto"/>
        <w:bottom w:val="none" w:sz="0" w:space="0" w:color="auto"/>
        <w:right w:val="none" w:sz="0" w:space="0" w:color="auto"/>
      </w:divBdr>
    </w:div>
    <w:div w:id="1713767193">
      <w:bodyDiv w:val="1"/>
      <w:marLeft w:val="0"/>
      <w:marRight w:val="0"/>
      <w:marTop w:val="0"/>
      <w:marBottom w:val="0"/>
      <w:divBdr>
        <w:top w:val="none" w:sz="0" w:space="0" w:color="auto"/>
        <w:left w:val="none" w:sz="0" w:space="0" w:color="auto"/>
        <w:bottom w:val="none" w:sz="0" w:space="0" w:color="auto"/>
        <w:right w:val="none" w:sz="0" w:space="0" w:color="auto"/>
      </w:divBdr>
    </w:div>
    <w:div w:id="1734767675">
      <w:bodyDiv w:val="1"/>
      <w:marLeft w:val="0"/>
      <w:marRight w:val="0"/>
      <w:marTop w:val="0"/>
      <w:marBottom w:val="0"/>
      <w:divBdr>
        <w:top w:val="none" w:sz="0" w:space="0" w:color="auto"/>
        <w:left w:val="none" w:sz="0" w:space="0" w:color="auto"/>
        <w:bottom w:val="none" w:sz="0" w:space="0" w:color="auto"/>
        <w:right w:val="none" w:sz="0" w:space="0" w:color="auto"/>
      </w:divBdr>
    </w:div>
    <w:div w:id="1767383388">
      <w:bodyDiv w:val="1"/>
      <w:marLeft w:val="0"/>
      <w:marRight w:val="0"/>
      <w:marTop w:val="0"/>
      <w:marBottom w:val="0"/>
      <w:divBdr>
        <w:top w:val="none" w:sz="0" w:space="0" w:color="auto"/>
        <w:left w:val="none" w:sz="0" w:space="0" w:color="auto"/>
        <w:bottom w:val="none" w:sz="0" w:space="0" w:color="auto"/>
        <w:right w:val="none" w:sz="0" w:space="0" w:color="auto"/>
      </w:divBdr>
    </w:div>
    <w:div w:id="1815443966">
      <w:bodyDiv w:val="1"/>
      <w:marLeft w:val="0"/>
      <w:marRight w:val="0"/>
      <w:marTop w:val="0"/>
      <w:marBottom w:val="0"/>
      <w:divBdr>
        <w:top w:val="none" w:sz="0" w:space="0" w:color="auto"/>
        <w:left w:val="none" w:sz="0" w:space="0" w:color="auto"/>
        <w:bottom w:val="none" w:sz="0" w:space="0" w:color="auto"/>
        <w:right w:val="none" w:sz="0" w:space="0" w:color="auto"/>
      </w:divBdr>
    </w:div>
    <w:div w:id="1857578067">
      <w:bodyDiv w:val="1"/>
      <w:marLeft w:val="0"/>
      <w:marRight w:val="0"/>
      <w:marTop w:val="0"/>
      <w:marBottom w:val="0"/>
      <w:divBdr>
        <w:top w:val="none" w:sz="0" w:space="0" w:color="auto"/>
        <w:left w:val="none" w:sz="0" w:space="0" w:color="auto"/>
        <w:bottom w:val="none" w:sz="0" w:space="0" w:color="auto"/>
        <w:right w:val="none" w:sz="0" w:space="0" w:color="auto"/>
      </w:divBdr>
    </w:div>
    <w:div w:id="1857647955">
      <w:bodyDiv w:val="1"/>
      <w:marLeft w:val="0"/>
      <w:marRight w:val="0"/>
      <w:marTop w:val="0"/>
      <w:marBottom w:val="0"/>
      <w:divBdr>
        <w:top w:val="none" w:sz="0" w:space="0" w:color="auto"/>
        <w:left w:val="none" w:sz="0" w:space="0" w:color="auto"/>
        <w:bottom w:val="none" w:sz="0" w:space="0" w:color="auto"/>
        <w:right w:val="none" w:sz="0" w:space="0" w:color="auto"/>
      </w:divBdr>
    </w:div>
    <w:div w:id="1881236258">
      <w:bodyDiv w:val="1"/>
      <w:marLeft w:val="0"/>
      <w:marRight w:val="0"/>
      <w:marTop w:val="0"/>
      <w:marBottom w:val="0"/>
      <w:divBdr>
        <w:top w:val="none" w:sz="0" w:space="0" w:color="auto"/>
        <w:left w:val="none" w:sz="0" w:space="0" w:color="auto"/>
        <w:bottom w:val="none" w:sz="0" w:space="0" w:color="auto"/>
        <w:right w:val="none" w:sz="0" w:space="0" w:color="auto"/>
      </w:divBdr>
    </w:div>
    <w:div w:id="1914971127">
      <w:bodyDiv w:val="1"/>
      <w:marLeft w:val="0"/>
      <w:marRight w:val="0"/>
      <w:marTop w:val="0"/>
      <w:marBottom w:val="0"/>
      <w:divBdr>
        <w:top w:val="none" w:sz="0" w:space="0" w:color="auto"/>
        <w:left w:val="none" w:sz="0" w:space="0" w:color="auto"/>
        <w:bottom w:val="none" w:sz="0" w:space="0" w:color="auto"/>
        <w:right w:val="none" w:sz="0" w:space="0" w:color="auto"/>
      </w:divBdr>
    </w:div>
    <w:div w:id="1923370598">
      <w:bodyDiv w:val="1"/>
      <w:marLeft w:val="0"/>
      <w:marRight w:val="0"/>
      <w:marTop w:val="0"/>
      <w:marBottom w:val="0"/>
      <w:divBdr>
        <w:top w:val="none" w:sz="0" w:space="0" w:color="auto"/>
        <w:left w:val="none" w:sz="0" w:space="0" w:color="auto"/>
        <w:bottom w:val="none" w:sz="0" w:space="0" w:color="auto"/>
        <w:right w:val="none" w:sz="0" w:space="0" w:color="auto"/>
      </w:divBdr>
    </w:div>
    <w:div w:id="1944341459">
      <w:bodyDiv w:val="1"/>
      <w:marLeft w:val="0"/>
      <w:marRight w:val="0"/>
      <w:marTop w:val="0"/>
      <w:marBottom w:val="0"/>
      <w:divBdr>
        <w:top w:val="none" w:sz="0" w:space="0" w:color="auto"/>
        <w:left w:val="none" w:sz="0" w:space="0" w:color="auto"/>
        <w:bottom w:val="none" w:sz="0" w:space="0" w:color="auto"/>
        <w:right w:val="none" w:sz="0" w:space="0" w:color="auto"/>
      </w:divBdr>
    </w:div>
    <w:div w:id="1946158050">
      <w:bodyDiv w:val="1"/>
      <w:marLeft w:val="0"/>
      <w:marRight w:val="0"/>
      <w:marTop w:val="0"/>
      <w:marBottom w:val="0"/>
      <w:divBdr>
        <w:top w:val="none" w:sz="0" w:space="0" w:color="auto"/>
        <w:left w:val="none" w:sz="0" w:space="0" w:color="auto"/>
        <w:bottom w:val="none" w:sz="0" w:space="0" w:color="auto"/>
        <w:right w:val="none" w:sz="0" w:space="0" w:color="auto"/>
      </w:divBdr>
    </w:div>
    <w:div w:id="1953396061">
      <w:bodyDiv w:val="1"/>
      <w:marLeft w:val="0"/>
      <w:marRight w:val="0"/>
      <w:marTop w:val="0"/>
      <w:marBottom w:val="0"/>
      <w:divBdr>
        <w:top w:val="none" w:sz="0" w:space="0" w:color="auto"/>
        <w:left w:val="none" w:sz="0" w:space="0" w:color="auto"/>
        <w:bottom w:val="none" w:sz="0" w:space="0" w:color="auto"/>
        <w:right w:val="none" w:sz="0" w:space="0" w:color="auto"/>
      </w:divBdr>
    </w:div>
    <w:div w:id="1974796306">
      <w:bodyDiv w:val="1"/>
      <w:marLeft w:val="0"/>
      <w:marRight w:val="0"/>
      <w:marTop w:val="0"/>
      <w:marBottom w:val="0"/>
      <w:divBdr>
        <w:top w:val="none" w:sz="0" w:space="0" w:color="auto"/>
        <w:left w:val="none" w:sz="0" w:space="0" w:color="auto"/>
        <w:bottom w:val="none" w:sz="0" w:space="0" w:color="auto"/>
        <w:right w:val="none" w:sz="0" w:space="0" w:color="auto"/>
      </w:divBdr>
    </w:div>
    <w:div w:id="2015835904">
      <w:bodyDiv w:val="1"/>
      <w:marLeft w:val="0"/>
      <w:marRight w:val="0"/>
      <w:marTop w:val="0"/>
      <w:marBottom w:val="0"/>
      <w:divBdr>
        <w:top w:val="none" w:sz="0" w:space="0" w:color="auto"/>
        <w:left w:val="none" w:sz="0" w:space="0" w:color="auto"/>
        <w:bottom w:val="none" w:sz="0" w:space="0" w:color="auto"/>
        <w:right w:val="none" w:sz="0" w:space="0" w:color="auto"/>
      </w:divBdr>
    </w:div>
    <w:div w:id="2028218001">
      <w:bodyDiv w:val="1"/>
      <w:marLeft w:val="0"/>
      <w:marRight w:val="0"/>
      <w:marTop w:val="0"/>
      <w:marBottom w:val="0"/>
      <w:divBdr>
        <w:top w:val="none" w:sz="0" w:space="0" w:color="auto"/>
        <w:left w:val="none" w:sz="0" w:space="0" w:color="auto"/>
        <w:bottom w:val="none" w:sz="0" w:space="0" w:color="auto"/>
        <w:right w:val="none" w:sz="0" w:space="0" w:color="auto"/>
      </w:divBdr>
    </w:div>
    <w:div w:id="2034113082">
      <w:bodyDiv w:val="1"/>
      <w:marLeft w:val="0"/>
      <w:marRight w:val="0"/>
      <w:marTop w:val="0"/>
      <w:marBottom w:val="0"/>
      <w:divBdr>
        <w:top w:val="none" w:sz="0" w:space="0" w:color="auto"/>
        <w:left w:val="none" w:sz="0" w:space="0" w:color="auto"/>
        <w:bottom w:val="none" w:sz="0" w:space="0" w:color="auto"/>
        <w:right w:val="none" w:sz="0" w:space="0" w:color="auto"/>
      </w:divBdr>
    </w:div>
    <w:div w:id="2045054178">
      <w:bodyDiv w:val="1"/>
      <w:marLeft w:val="0"/>
      <w:marRight w:val="0"/>
      <w:marTop w:val="0"/>
      <w:marBottom w:val="0"/>
      <w:divBdr>
        <w:top w:val="none" w:sz="0" w:space="0" w:color="auto"/>
        <w:left w:val="none" w:sz="0" w:space="0" w:color="auto"/>
        <w:bottom w:val="none" w:sz="0" w:space="0" w:color="auto"/>
        <w:right w:val="none" w:sz="0" w:space="0" w:color="auto"/>
      </w:divBdr>
    </w:div>
    <w:div w:id="2063475378">
      <w:bodyDiv w:val="1"/>
      <w:marLeft w:val="0"/>
      <w:marRight w:val="0"/>
      <w:marTop w:val="0"/>
      <w:marBottom w:val="0"/>
      <w:divBdr>
        <w:top w:val="none" w:sz="0" w:space="0" w:color="auto"/>
        <w:left w:val="none" w:sz="0" w:space="0" w:color="auto"/>
        <w:bottom w:val="none" w:sz="0" w:space="0" w:color="auto"/>
        <w:right w:val="none" w:sz="0" w:space="0" w:color="auto"/>
      </w:divBdr>
    </w:div>
    <w:div w:id="2088572979">
      <w:bodyDiv w:val="1"/>
      <w:marLeft w:val="0"/>
      <w:marRight w:val="0"/>
      <w:marTop w:val="0"/>
      <w:marBottom w:val="0"/>
      <w:divBdr>
        <w:top w:val="none" w:sz="0" w:space="0" w:color="auto"/>
        <w:left w:val="none" w:sz="0" w:space="0" w:color="auto"/>
        <w:bottom w:val="none" w:sz="0" w:space="0" w:color="auto"/>
        <w:right w:val="none" w:sz="0" w:space="0" w:color="auto"/>
      </w:divBdr>
    </w:div>
    <w:div w:id="2089115896">
      <w:bodyDiv w:val="1"/>
      <w:marLeft w:val="0"/>
      <w:marRight w:val="0"/>
      <w:marTop w:val="0"/>
      <w:marBottom w:val="0"/>
      <w:divBdr>
        <w:top w:val="none" w:sz="0" w:space="0" w:color="auto"/>
        <w:left w:val="none" w:sz="0" w:space="0" w:color="auto"/>
        <w:bottom w:val="none" w:sz="0" w:space="0" w:color="auto"/>
        <w:right w:val="none" w:sz="0" w:space="0" w:color="auto"/>
      </w:divBdr>
    </w:div>
    <w:div w:id="2099279287">
      <w:bodyDiv w:val="1"/>
      <w:marLeft w:val="0"/>
      <w:marRight w:val="0"/>
      <w:marTop w:val="0"/>
      <w:marBottom w:val="0"/>
      <w:divBdr>
        <w:top w:val="none" w:sz="0" w:space="0" w:color="auto"/>
        <w:left w:val="none" w:sz="0" w:space="0" w:color="auto"/>
        <w:bottom w:val="none" w:sz="0" w:space="0" w:color="auto"/>
        <w:right w:val="none" w:sz="0" w:space="0" w:color="auto"/>
      </w:divBdr>
    </w:div>
    <w:div w:id="21200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z79cfvs001\341200Common$\Sweden\OE\Milj&#246;\H&#229;llbarhetsredovisning\2019\Diagram%20och%20figurer%202020-03-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z79cfvs001\341200Common$\Sweden\OE\Milj&#246;\H&#229;llbarhetsredovisning\2019\Diagram%20och%20figurer%202020-03-0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z79cfvs001\341200Common$\Sweden\OE\Milj&#246;\H&#229;llbarhetsredovisning\2019\Diagram%20och%20figurer%202020-03-0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z79cfvs001\341200Common$\Sweden\OE\Milj&#246;\H&#229;llbarhetsredovisning\2018\Diagram%20och%20figurer%202019-03-2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z79cfvs001\341200Common$\Sweden\OE\Milj&#246;\H&#229;llbarhetsredovisning\2018\Diagram%20och%20figurer%202019-03-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z79cfvs001\341200Common$\Sweden\OE\Milj&#246;\H&#229;llbarhetsredovisning\2018\Diagram%20och%20figurer%202019-03-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z79cfvs001\341200Common$\Sweden\OE\Milj&#246;\H&#229;llbarhetsredovisning\2019\Diagram%20och%20figurer%202020-03-0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z79cfvs001\341200Common$\Sweden\OE\Milj&#246;\H&#229;llbarhetsredovisning\2019\Diagram%20och%20figurer%202020-03-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sv-SE"/>
              <a:t>Utsläpp av CO2 från hyrbilsflottan</a:t>
            </a:r>
          </a:p>
        </c:rich>
      </c:tx>
      <c:layout>
        <c:manualLayout>
          <c:xMode val="edge"/>
          <c:yMode val="edge"/>
          <c:x val="0.19686142042895527"/>
          <c:y val="3.6899902562346929E-3"/>
        </c:manualLayout>
      </c:layout>
      <c:overlay val="0"/>
      <c:spPr>
        <a:noFill/>
        <a:ln w="25400">
          <a:noFill/>
        </a:ln>
      </c:spPr>
    </c:title>
    <c:autoTitleDeleted val="0"/>
    <c:plotArea>
      <c:layout>
        <c:manualLayout>
          <c:layoutTarget val="inner"/>
          <c:xMode val="edge"/>
          <c:yMode val="edge"/>
          <c:x val="0.14839832453229371"/>
          <c:y val="0.16974200325401301"/>
          <c:w val="0.75741786881190232"/>
          <c:h val="0.64206757752604948"/>
        </c:manualLayout>
      </c:layout>
      <c:barChart>
        <c:barDir val="col"/>
        <c:grouping val="clustered"/>
        <c:varyColors val="0"/>
        <c:ser>
          <c:idx val="1"/>
          <c:order val="0"/>
          <c:tx>
            <c:strRef>
              <c:f>'Diagram 11'!$A$8</c:f>
              <c:strCache>
                <c:ptCount val="1"/>
                <c:pt idx="0">
                  <c:v>utsläpp CO2 totalt (ton)</c:v>
                </c:pt>
              </c:strCache>
            </c:strRef>
          </c:tx>
          <c:spPr>
            <a:solidFill>
              <a:srgbClr val="993366"/>
            </a:solidFill>
            <a:ln w="12700">
              <a:solidFill>
                <a:srgbClr val="000000"/>
              </a:solidFill>
              <a:prstDash val="solid"/>
            </a:ln>
          </c:spPr>
          <c:invertIfNegative val="0"/>
          <c:cat>
            <c:numRef>
              <c:f>'Diagram 11'!$B$6:$Q$6</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'Diagram 11'!$B$8:$Q$8</c:f>
              <c:numCache>
                <c:formatCode>_(* #,##0.00_);_(* \(#,##0.00\);_(* "-"??_);_(@_)</c:formatCode>
                <c:ptCount val="16"/>
                <c:pt idx="0">
                  <c:v>12699.87</c:v>
                </c:pt>
                <c:pt idx="1">
                  <c:v>16490.400000000001</c:v>
                </c:pt>
                <c:pt idx="2">
                  <c:v>16398.43</c:v>
                </c:pt>
                <c:pt idx="3">
                  <c:v>18975.02</c:v>
                </c:pt>
                <c:pt idx="4">
                  <c:v>16975.02</c:v>
                </c:pt>
                <c:pt idx="5">
                  <c:v>15149.45</c:v>
                </c:pt>
                <c:pt idx="6">
                  <c:v>14998.731</c:v>
                </c:pt>
                <c:pt idx="7">
                  <c:v>19817</c:v>
                </c:pt>
                <c:pt idx="8">
                  <c:v>18766.855</c:v>
                </c:pt>
                <c:pt idx="9">
                  <c:v>19072</c:v>
                </c:pt>
                <c:pt idx="10">
                  <c:v>18483</c:v>
                </c:pt>
                <c:pt idx="11">
                  <c:v>19578</c:v>
                </c:pt>
                <c:pt idx="12">
                  <c:v>21645</c:v>
                </c:pt>
                <c:pt idx="13">
                  <c:v>22052</c:v>
                </c:pt>
                <c:pt idx="14" formatCode="General">
                  <c:v>24159</c:v>
                </c:pt>
                <c:pt idx="15">
                  <c:v>23126</c:v>
                </c:pt>
              </c:numCache>
            </c:numRef>
          </c:val>
        </c:ser>
        <c:dLbls>
          <c:showLegendKey val="0"/>
          <c:showVal val="0"/>
          <c:showCatName val="0"/>
          <c:showSerName val="0"/>
          <c:showPercent val="0"/>
          <c:showBubbleSize val="0"/>
        </c:dLbls>
        <c:gapWidth val="150"/>
        <c:axId val="116165968"/>
        <c:axId val="147611944"/>
      </c:barChart>
      <c:lineChart>
        <c:grouping val="standard"/>
        <c:varyColors val="0"/>
        <c:ser>
          <c:idx val="0"/>
          <c:order val="1"/>
          <c:tx>
            <c:strRef>
              <c:f>'Diagram 11'!$A$9</c:f>
              <c:strCache>
                <c:ptCount val="1"/>
                <c:pt idx="0">
                  <c:v>Utsläpp av CO2 per körd km (gram/km)</c:v>
                </c:pt>
              </c:strCache>
            </c:strRef>
          </c:tx>
          <c:spPr>
            <a:ln w="12700">
              <a:solidFill>
                <a:srgbClr val="000090"/>
              </a:solidFill>
              <a:prstDash val="solid"/>
            </a:ln>
          </c:spPr>
          <c:marker>
            <c:symbol val="diamond"/>
            <c:size val="5"/>
            <c:spPr>
              <a:solidFill>
                <a:srgbClr val="000080"/>
              </a:solidFill>
              <a:ln>
                <a:solidFill>
                  <a:srgbClr val="000090"/>
                </a:solidFill>
                <a:prstDash val="solid"/>
              </a:ln>
            </c:spPr>
          </c:marker>
          <c:cat>
            <c:numRef>
              <c:f>'Diagram 11'!$B$6:$Q$6</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'Diagram 11'!$B$9:$Q$9</c:f>
              <c:numCache>
                <c:formatCode>_-* #\ ##0\ _k_r_-;\-* #\ ##0\ _k_r_-;_-* "-"??\ _k_r_-;_-@_-</c:formatCode>
                <c:ptCount val="16"/>
                <c:pt idx="0">
                  <c:v>190</c:v>
                </c:pt>
                <c:pt idx="1">
                  <c:v>196</c:v>
                </c:pt>
                <c:pt idx="2">
                  <c:v>163</c:v>
                </c:pt>
                <c:pt idx="3">
                  <c:v>169</c:v>
                </c:pt>
                <c:pt idx="4">
                  <c:v>124</c:v>
                </c:pt>
                <c:pt idx="5">
                  <c:v>110</c:v>
                </c:pt>
                <c:pt idx="6">
                  <c:v>103</c:v>
                </c:pt>
                <c:pt idx="7">
                  <c:v>124</c:v>
                </c:pt>
                <c:pt idx="8">
                  <c:v>122</c:v>
                </c:pt>
                <c:pt idx="9">
                  <c:v>123</c:v>
                </c:pt>
                <c:pt idx="10">
                  <c:v>123</c:v>
                </c:pt>
                <c:pt idx="11">
                  <c:v>119</c:v>
                </c:pt>
                <c:pt idx="12" formatCode="_-* #\ ##0.0\ _k_r_-;\-* #\ ##0.0\ _k_r_-;_-* &quot;-&quot;??\ _k_r_-;_-@_-">
                  <c:v>119.6</c:v>
                </c:pt>
                <c:pt idx="13" formatCode="General">
                  <c:v>119.9</c:v>
                </c:pt>
                <c:pt idx="14" formatCode="General">
                  <c:v>122.8</c:v>
                </c:pt>
                <c:pt idx="15" formatCode="General">
                  <c:v>126.45</c:v>
                </c:pt>
              </c:numCache>
            </c:numRef>
          </c:val>
          <c:smooth val="0"/>
        </c:ser>
        <c:ser>
          <c:idx val="2"/>
          <c:order val="2"/>
          <c:tx>
            <c:strRef>
              <c:f>'Diagram 11'!$A$10</c:f>
              <c:strCache>
                <c:ptCount val="1"/>
              </c:strCache>
            </c:strRef>
          </c:tx>
          <c:cat>
            <c:numRef>
              <c:f>'Diagram 11'!$B$6:$Q$6</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'Diagram 11'!$B$10:$Q$10</c:f>
              <c:numCache>
                <c:formatCode>General</c:formatCode>
                <c:ptCount val="16"/>
              </c:numCache>
            </c:numRef>
          </c:val>
          <c:smooth val="0"/>
        </c:ser>
        <c:dLbls>
          <c:showLegendKey val="0"/>
          <c:showVal val="0"/>
          <c:showCatName val="0"/>
          <c:showSerName val="0"/>
          <c:showPercent val="0"/>
          <c:showBubbleSize val="0"/>
        </c:dLbls>
        <c:marker val="1"/>
        <c:smooth val="0"/>
        <c:axId val="147612328"/>
        <c:axId val="147612712"/>
      </c:lineChart>
      <c:catAx>
        <c:axId val="11616596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v-SE"/>
          </a:p>
        </c:txPr>
        <c:crossAx val="147611944"/>
        <c:crosses val="autoZero"/>
        <c:auto val="0"/>
        <c:lblAlgn val="ctr"/>
        <c:lblOffset val="100"/>
        <c:tickLblSkip val="1"/>
        <c:tickMarkSkip val="1"/>
        <c:noMultiLvlLbl val="0"/>
      </c:catAx>
      <c:valAx>
        <c:axId val="147611944"/>
        <c:scaling>
          <c:orientation val="minMax"/>
        </c:scaling>
        <c:delete val="0"/>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rPr lang="sv-SE"/>
                  <a:t>ton</a:t>
                </a:r>
              </a:p>
            </c:rich>
          </c:tx>
          <c:layout>
            <c:manualLayout>
              <c:xMode val="edge"/>
              <c:yMode val="edge"/>
              <c:x val="3.4461401967224303E-2"/>
              <c:y val="6.0287939327510934E-2"/>
            </c:manualLayout>
          </c:layout>
          <c:overlay val="0"/>
          <c:spPr>
            <a:noFill/>
            <a:ln w="25400">
              <a:noFill/>
            </a:ln>
          </c:spPr>
        </c:title>
        <c:numFmt formatCode="_(* #,##0.00_);_(* \(#,##0.00\);_(* &quot;-&quot;??_);_(@_)"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v-SE"/>
          </a:p>
        </c:txPr>
        <c:crossAx val="116165968"/>
        <c:crosses val="autoZero"/>
        <c:crossBetween val="between"/>
      </c:valAx>
      <c:catAx>
        <c:axId val="147612328"/>
        <c:scaling>
          <c:orientation val="minMax"/>
        </c:scaling>
        <c:delete val="1"/>
        <c:axPos val="b"/>
        <c:numFmt formatCode="General" sourceLinked="1"/>
        <c:majorTickMark val="out"/>
        <c:minorTickMark val="none"/>
        <c:tickLblPos val="nextTo"/>
        <c:crossAx val="147612712"/>
        <c:crosses val="autoZero"/>
        <c:auto val="0"/>
        <c:lblAlgn val="ctr"/>
        <c:lblOffset val="100"/>
        <c:noMultiLvlLbl val="0"/>
      </c:catAx>
      <c:valAx>
        <c:axId val="147612712"/>
        <c:scaling>
          <c:orientation val="minMax"/>
        </c:scaling>
        <c:delete val="0"/>
        <c:axPos val="r"/>
        <c:title>
          <c:tx>
            <c:rich>
              <a:bodyPr rot="0" vert="horz"/>
              <a:lstStyle/>
              <a:p>
                <a:pPr algn="ctr">
                  <a:defRPr sz="1000" b="1" i="0" u="none" strike="noStrike" baseline="0">
                    <a:solidFill>
                      <a:srgbClr val="000000"/>
                    </a:solidFill>
                    <a:latin typeface="Arial"/>
                    <a:ea typeface="Arial"/>
                    <a:cs typeface="Arial"/>
                  </a:defRPr>
                </a:pPr>
                <a:r>
                  <a:rPr lang="sv-SE"/>
                  <a:t>gram/km</a:t>
                </a:r>
              </a:p>
            </c:rich>
          </c:tx>
          <c:layout>
            <c:manualLayout>
              <c:xMode val="edge"/>
              <c:yMode val="edge"/>
              <c:x val="0.89582122657203056"/>
              <c:y val="6.9201267574642747E-2"/>
            </c:manualLayout>
          </c:layout>
          <c:overlay val="0"/>
          <c:spPr>
            <a:noFill/>
            <a:ln w="25400">
              <a:noFill/>
            </a:ln>
          </c:spPr>
        </c:title>
        <c:numFmt formatCode="_-* #\ ##0\ _k_r_-;\-* #\ ##0\ _k_r_-;_-* &quot;-&quot;??\ _k_r_-;_-@_-"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v-SE"/>
          </a:p>
        </c:txPr>
        <c:crossAx val="147612328"/>
        <c:crosses val="max"/>
        <c:crossBetween val="between"/>
      </c:valAx>
      <c:spPr>
        <a:solidFill>
          <a:srgbClr val="C0C0C0"/>
        </a:solidFill>
        <a:ln w="12700">
          <a:solidFill>
            <a:srgbClr val="808080"/>
          </a:solidFill>
          <a:prstDash val="solid"/>
        </a:ln>
      </c:spPr>
    </c:plotArea>
    <c:legend>
      <c:legendPos val="r"/>
      <c:legendEntry>
        <c:idx val="2"/>
        <c:delete val="1"/>
      </c:legendEntry>
      <c:layout>
        <c:manualLayout>
          <c:xMode val="edge"/>
          <c:yMode val="edge"/>
          <c:x val="0.19486542513713409"/>
          <c:y val="0.90362196498746639"/>
          <c:w val="0.68129099991533315"/>
          <c:h val="9.1988130563798287E-2"/>
        </c:manualLayout>
      </c:layout>
      <c:overlay val="0"/>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sv-SE"/>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99190059691288E-2"/>
          <c:y val="5.5827433921357437E-2"/>
          <c:w val="0.78905201434417427"/>
          <c:h val="0.78392536590296735"/>
        </c:manualLayout>
      </c:layout>
      <c:barChart>
        <c:barDir val="col"/>
        <c:grouping val="percentStacked"/>
        <c:varyColors val="0"/>
        <c:ser>
          <c:idx val="0"/>
          <c:order val="0"/>
          <c:tx>
            <c:strRef>
              <c:f>'Diagram 3'!$A$9</c:f>
              <c:strCache>
                <c:ptCount val="1"/>
                <c:pt idx="0">
                  <c:v>Utsläpp från flottan</c:v>
                </c:pt>
              </c:strCache>
            </c:strRef>
          </c:tx>
          <c:invertIfNegative val="0"/>
          <c:cat>
            <c:numRef>
              <c:f>'Diagram 3'!$B$8:$N$8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'Diagram 3'!$B$9:$N$9</c:f>
              <c:numCache>
                <c:formatCode>_-* #\ ##0\ _k_r_-;\-* #\ ##0\ _k_r_-;_-* "-"??\ _k_r_-;_-@_-</c:formatCode>
                <c:ptCount val="13"/>
                <c:pt idx="0">
                  <c:v>18975</c:v>
                </c:pt>
                <c:pt idx="1">
                  <c:v>16946</c:v>
                </c:pt>
                <c:pt idx="2">
                  <c:v>15149</c:v>
                </c:pt>
                <c:pt idx="3">
                  <c:v>14998.731</c:v>
                </c:pt>
                <c:pt idx="4">
                  <c:v>19817</c:v>
                </c:pt>
                <c:pt idx="5">
                  <c:v>18766.855</c:v>
                </c:pt>
                <c:pt idx="6">
                  <c:v>19071</c:v>
                </c:pt>
                <c:pt idx="7">
                  <c:v>18483</c:v>
                </c:pt>
                <c:pt idx="8">
                  <c:v>19578</c:v>
                </c:pt>
                <c:pt idx="9">
                  <c:v>21645</c:v>
                </c:pt>
                <c:pt idx="10">
                  <c:v>22052</c:v>
                </c:pt>
                <c:pt idx="11" formatCode="#,##0">
                  <c:v>24159</c:v>
                </c:pt>
                <c:pt idx="12">
                  <c:v>23126</c:v>
                </c:pt>
              </c:numCache>
            </c:numRef>
          </c:val>
        </c:ser>
        <c:ser>
          <c:idx val="1"/>
          <c:order val="1"/>
          <c:tx>
            <c:strRef>
              <c:f>'Diagram 3'!$A$10</c:f>
              <c:strCache>
                <c:ptCount val="1"/>
                <c:pt idx="0">
                  <c:v>Interna utsläpp</c:v>
                </c:pt>
              </c:strCache>
            </c:strRef>
          </c:tx>
          <c:invertIfNegative val="0"/>
          <c:cat>
            <c:numRef>
              <c:f>'Diagram 3'!$B$8:$N$8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'Diagram 3'!$B$10:$N$10</c:f>
              <c:numCache>
                <c:formatCode>_-* #\ ##0\ _k_r_-;\-* #\ ##0\ _k_r_-;_-* "-"??\ _k_r_-;_-@_-</c:formatCode>
                <c:ptCount val="13"/>
                <c:pt idx="0">
                  <c:v>1748.6009999999999</c:v>
                </c:pt>
                <c:pt idx="1">
                  <c:v>1559.0550000000001</c:v>
                </c:pt>
                <c:pt idx="2">
                  <c:v>1566.6889999999999</c:v>
                </c:pt>
                <c:pt idx="3">
                  <c:v>1455.01</c:v>
                </c:pt>
                <c:pt idx="4">
                  <c:v>1557.7760000000001</c:v>
                </c:pt>
                <c:pt idx="5">
                  <c:v>1636.7613784165283</c:v>
                </c:pt>
                <c:pt idx="6">
                  <c:v>1552</c:v>
                </c:pt>
                <c:pt idx="7">
                  <c:v>2396</c:v>
                </c:pt>
                <c:pt idx="8">
                  <c:v>1134</c:v>
                </c:pt>
                <c:pt idx="9">
                  <c:v>538.70000000000005</c:v>
                </c:pt>
                <c:pt idx="10">
                  <c:v>239.3</c:v>
                </c:pt>
                <c:pt idx="11">
                  <c:v>242.2</c:v>
                </c:pt>
                <c:pt idx="12">
                  <c:v>432</c:v>
                </c:pt>
              </c:numCache>
            </c:numRef>
          </c:val>
        </c:ser>
        <c:dLbls>
          <c:showLegendKey val="0"/>
          <c:showVal val="0"/>
          <c:showCatName val="0"/>
          <c:showSerName val="0"/>
          <c:showPercent val="0"/>
          <c:showBubbleSize val="0"/>
        </c:dLbls>
        <c:gapWidth val="150"/>
        <c:overlap val="100"/>
        <c:axId val="148139520"/>
        <c:axId val="147689488"/>
      </c:barChart>
      <c:catAx>
        <c:axId val="14813952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47689488"/>
        <c:crosses val="autoZero"/>
        <c:auto val="1"/>
        <c:lblAlgn val="ctr"/>
        <c:lblOffset val="100"/>
        <c:noMultiLvlLbl val="0"/>
      </c:catAx>
      <c:valAx>
        <c:axId val="147689488"/>
        <c:scaling>
          <c:orientation val="minMax"/>
          <c:max val="1"/>
          <c:min val="0"/>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48139520"/>
        <c:crosses val="autoZero"/>
        <c:crossBetween val="between"/>
        <c:majorUnit val="0.1"/>
      </c:valAx>
    </c:plotArea>
    <c:legend>
      <c:legendPos val="r"/>
      <c:layout>
        <c:manualLayout>
          <c:xMode val="edge"/>
          <c:yMode val="edge"/>
          <c:x val="0.24256094546353452"/>
          <c:y val="0.91774006336857294"/>
          <c:w val="0.44381366283508189"/>
          <c:h val="7.7717127988483514E-2"/>
        </c:manualLayout>
      </c:layout>
      <c:overlay val="0"/>
      <c:txPr>
        <a:bodyPr/>
        <a:lstStyle/>
        <a:p>
          <a:pPr>
            <a:defRPr sz="710" b="0" i="0" u="none" strike="noStrike" baseline="0">
              <a:solidFill>
                <a:srgbClr val="000000"/>
              </a:solidFill>
              <a:latin typeface="Calibri"/>
              <a:ea typeface="Calibri"/>
              <a:cs typeface="Calibri"/>
            </a:defRPr>
          </a:pPr>
          <a:endParaRPr lang="sv-SE"/>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545739741815216E-2"/>
          <c:y val="7.2733114766348153E-2"/>
          <c:w val="0.89822992677402969"/>
          <c:h val="0.63099744687904868"/>
        </c:manualLayout>
      </c:layout>
      <c:barChart>
        <c:barDir val="col"/>
        <c:grouping val="percentStacked"/>
        <c:varyColors val="0"/>
        <c:ser>
          <c:idx val="0"/>
          <c:order val="0"/>
          <c:tx>
            <c:strRef>
              <c:f>'Diagram 10'!$A$6</c:f>
              <c:strCache>
                <c:ptCount val="1"/>
                <c:pt idx="0">
                  <c:v> - bensin</c:v>
                </c:pt>
              </c:strCache>
            </c:strRef>
          </c:tx>
          <c:spPr>
            <a:solidFill>
              <a:srgbClr val="9999FF"/>
            </a:solidFill>
            <a:ln w="12700">
              <a:solidFill>
                <a:srgbClr val="000000"/>
              </a:solidFill>
              <a:prstDash val="solid"/>
            </a:ln>
          </c:spPr>
          <c:invertIfNegative val="0"/>
          <c:cat>
            <c:numRef>
              <c:f>'Diagram 10'!$B$5:$Q$5</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'Diagram 10'!$B$6:$Q$6</c:f>
              <c:numCache>
                <c:formatCode>0.0%</c:formatCode>
                <c:ptCount val="16"/>
                <c:pt idx="0">
                  <c:v>0.93530000000000002</c:v>
                </c:pt>
                <c:pt idx="1">
                  <c:v>0.93940000000000001</c:v>
                </c:pt>
                <c:pt idx="2">
                  <c:v>0.66959999999999997</c:v>
                </c:pt>
                <c:pt idx="3">
                  <c:v>0.55259999999999998</c:v>
                </c:pt>
                <c:pt idx="4">
                  <c:v>0.36759999999999998</c:v>
                </c:pt>
                <c:pt idx="5">
                  <c:v>0.15845862970476207</c:v>
                </c:pt>
                <c:pt idx="6">
                  <c:v>0.03</c:v>
                </c:pt>
                <c:pt idx="7">
                  <c:v>2.8500000000000001E-2</c:v>
                </c:pt>
                <c:pt idx="8">
                  <c:v>1.89E-2</c:v>
                </c:pt>
                <c:pt idx="9">
                  <c:v>5.3999999999999999E-2</c:v>
                </c:pt>
                <c:pt idx="10">
                  <c:v>0.09</c:v>
                </c:pt>
                <c:pt idx="11">
                  <c:v>0.157</c:v>
                </c:pt>
                <c:pt idx="12">
                  <c:v>0.156</c:v>
                </c:pt>
                <c:pt idx="13">
                  <c:v>0.17799999999999999</c:v>
                </c:pt>
                <c:pt idx="14">
                  <c:v>0.33399999999999996</c:v>
                </c:pt>
                <c:pt idx="15">
                  <c:v>0.4</c:v>
                </c:pt>
              </c:numCache>
            </c:numRef>
          </c:val>
        </c:ser>
        <c:ser>
          <c:idx val="1"/>
          <c:order val="1"/>
          <c:tx>
            <c:strRef>
              <c:f>'Diagram 10'!$A$7</c:f>
              <c:strCache>
                <c:ptCount val="1"/>
                <c:pt idx="0">
                  <c:v> - diesel</c:v>
                </c:pt>
              </c:strCache>
            </c:strRef>
          </c:tx>
          <c:spPr>
            <a:solidFill>
              <a:srgbClr val="993366"/>
            </a:solidFill>
            <a:ln w="12700">
              <a:solidFill>
                <a:srgbClr val="000000"/>
              </a:solidFill>
              <a:prstDash val="solid"/>
            </a:ln>
          </c:spPr>
          <c:invertIfNegative val="0"/>
          <c:cat>
            <c:numRef>
              <c:f>'Diagram 10'!$B$5:$Q$5</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'Diagram 10'!$B$7:$Q$7</c:f>
              <c:numCache>
                <c:formatCode>0.0%</c:formatCode>
                <c:ptCount val="16"/>
                <c:pt idx="0">
                  <c:v>5.5999999999999999E-3</c:v>
                </c:pt>
                <c:pt idx="1">
                  <c:v>5.1999999999999998E-3</c:v>
                </c:pt>
                <c:pt idx="2">
                  <c:v>4.3499999999999997E-2</c:v>
                </c:pt>
                <c:pt idx="3">
                  <c:v>0.2485</c:v>
                </c:pt>
                <c:pt idx="4">
                  <c:v>0.23319999999999999</c:v>
                </c:pt>
                <c:pt idx="5">
                  <c:v>0.28304421931061136</c:v>
                </c:pt>
                <c:pt idx="6">
                  <c:v>0.44740000000000002</c:v>
                </c:pt>
                <c:pt idx="7">
                  <c:v>0.76980000000000004</c:v>
                </c:pt>
                <c:pt idx="8">
                  <c:v>0.86060000000000003</c:v>
                </c:pt>
                <c:pt idx="9">
                  <c:v>0.85699999999999998</c:v>
                </c:pt>
                <c:pt idx="10">
                  <c:v>0.90200000000000002</c:v>
                </c:pt>
                <c:pt idx="11">
                  <c:v>0.84299999999999997</c:v>
                </c:pt>
                <c:pt idx="12">
                  <c:v>0.81599999999999995</c:v>
                </c:pt>
                <c:pt idx="13">
                  <c:v>0.751</c:v>
                </c:pt>
                <c:pt idx="14">
                  <c:v>0.61799999999999999</c:v>
                </c:pt>
                <c:pt idx="15">
                  <c:v>0.55000000000000004</c:v>
                </c:pt>
              </c:numCache>
            </c:numRef>
          </c:val>
        </c:ser>
        <c:ser>
          <c:idx val="2"/>
          <c:order val="2"/>
          <c:tx>
            <c:strRef>
              <c:f>'Diagram 10'!$A$8</c:f>
              <c:strCache>
                <c:ptCount val="1"/>
                <c:pt idx="0">
                  <c:v> - E85</c:v>
                </c:pt>
              </c:strCache>
            </c:strRef>
          </c:tx>
          <c:spPr>
            <a:solidFill>
              <a:srgbClr val="FFFFCC"/>
            </a:solidFill>
            <a:ln w="12700">
              <a:solidFill>
                <a:srgbClr val="000000"/>
              </a:solidFill>
              <a:prstDash val="solid"/>
            </a:ln>
          </c:spPr>
          <c:invertIfNegative val="0"/>
          <c:cat>
            <c:numRef>
              <c:f>'Diagram 10'!$B$5:$Q$5</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'Diagram 10'!$B$8:$Q$8</c:f>
              <c:numCache>
                <c:formatCode>0.0%</c:formatCode>
                <c:ptCount val="16"/>
                <c:pt idx="0">
                  <c:v>5.6899999999999999E-2</c:v>
                </c:pt>
                <c:pt idx="1">
                  <c:v>5.0299999999999997E-2</c:v>
                </c:pt>
                <c:pt idx="2">
                  <c:v>0.27529999999999999</c:v>
                </c:pt>
                <c:pt idx="3">
                  <c:v>0.1812</c:v>
                </c:pt>
                <c:pt idx="4">
                  <c:v>0.38800000000000001</c:v>
                </c:pt>
                <c:pt idx="5">
                  <c:v>0.54968526470725743</c:v>
                </c:pt>
                <c:pt idx="6">
                  <c:v>0.51780000000000004</c:v>
                </c:pt>
                <c:pt idx="7">
                  <c:v>0.19769999999999999</c:v>
                </c:pt>
                <c:pt idx="8">
                  <c:v>0.1147</c:v>
                </c:pt>
                <c:pt idx="9">
                  <c:v>8.4000000000000005E-2</c:v>
                </c:pt>
                <c:pt idx="10">
                  <c:v>6.0000000000000001E-3</c:v>
                </c:pt>
                <c:pt idx="15" formatCode="General">
                  <c:v>0</c:v>
                </c:pt>
              </c:numCache>
            </c:numRef>
          </c:val>
        </c:ser>
        <c:ser>
          <c:idx val="3"/>
          <c:order val="3"/>
          <c:tx>
            <c:strRef>
              <c:f>'Diagram 10'!$A$9</c:f>
              <c:strCache>
                <c:ptCount val="1"/>
                <c:pt idx="0">
                  <c:v> - fordonsgas</c:v>
                </c:pt>
              </c:strCache>
            </c:strRef>
          </c:tx>
          <c:spPr>
            <a:solidFill>
              <a:srgbClr val="CCFFFF"/>
            </a:solidFill>
            <a:ln w="12700">
              <a:solidFill>
                <a:srgbClr val="000000"/>
              </a:solidFill>
              <a:prstDash val="solid"/>
            </a:ln>
          </c:spPr>
          <c:invertIfNegative val="0"/>
          <c:cat>
            <c:numRef>
              <c:f>'Diagram 10'!$B$5:$Q$5</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'Diagram 10'!$B$9:$Q$9</c:f>
              <c:numCache>
                <c:formatCode>0.0%</c:formatCode>
                <c:ptCount val="16"/>
                <c:pt idx="0">
                  <c:v>2.0999999999999999E-3</c:v>
                </c:pt>
                <c:pt idx="1">
                  <c:v>5.1000000000000004E-3</c:v>
                </c:pt>
                <c:pt idx="2">
                  <c:v>1.1599999999999999E-2</c:v>
                </c:pt>
                <c:pt idx="3">
                  <c:v>1.77E-2</c:v>
                </c:pt>
                <c:pt idx="4">
                  <c:v>1.12E-2</c:v>
                </c:pt>
                <c:pt idx="5">
                  <c:v>8.8000000000000005E-3</c:v>
                </c:pt>
                <c:pt idx="6">
                  <c:v>4.7999999999999996E-3</c:v>
                </c:pt>
                <c:pt idx="7">
                  <c:v>4.0000000000000001E-3</c:v>
                </c:pt>
                <c:pt idx="8">
                  <c:v>5.4999999999999997E-3</c:v>
                </c:pt>
                <c:pt idx="9">
                  <c:v>5.0000000000000001E-3</c:v>
                </c:pt>
                <c:pt idx="10">
                  <c:v>2E-3</c:v>
                </c:pt>
                <c:pt idx="13">
                  <c:v>8.9999999999999993E-3</c:v>
                </c:pt>
                <c:pt idx="14" formatCode="0.00%">
                  <c:v>5.0000000000000002E-5</c:v>
                </c:pt>
                <c:pt idx="15">
                  <c:v>0</c:v>
                </c:pt>
              </c:numCache>
            </c:numRef>
          </c:val>
        </c:ser>
        <c:ser>
          <c:idx val="4"/>
          <c:order val="4"/>
          <c:tx>
            <c:strRef>
              <c:f>'Diagram 10'!$A$10</c:f>
              <c:strCache>
                <c:ptCount val="1"/>
                <c:pt idx="0">
                  <c:v>El</c:v>
                </c:pt>
              </c:strCache>
            </c:strRef>
          </c:tx>
          <c:invertIfNegative val="0"/>
          <c:cat>
            <c:numRef>
              <c:f>'Diagram 10'!$B$5:$Q$5</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'Diagram 10'!$B$10:$Q$10</c:f>
              <c:numCache>
                <c:formatCode>General</c:formatCode>
                <c:ptCount val="16"/>
                <c:pt idx="12" formatCode="0.000%">
                  <c:v>2.7999999999999998E-4</c:v>
                </c:pt>
                <c:pt idx="13" formatCode="0.0%">
                  <c:v>4.3999999999999997E-2</c:v>
                </c:pt>
                <c:pt idx="14" formatCode="0.0%">
                  <c:v>3.5999999999999997E-2</c:v>
                </c:pt>
                <c:pt idx="15" formatCode="0.0%">
                  <c:v>0.04</c:v>
                </c:pt>
              </c:numCache>
            </c:numRef>
          </c:val>
        </c:ser>
        <c:dLbls>
          <c:showLegendKey val="0"/>
          <c:showVal val="0"/>
          <c:showCatName val="0"/>
          <c:showSerName val="0"/>
          <c:showPercent val="0"/>
          <c:showBubbleSize val="0"/>
        </c:dLbls>
        <c:gapWidth val="150"/>
        <c:overlap val="100"/>
        <c:axId val="147746440"/>
        <c:axId val="147771824"/>
      </c:barChart>
      <c:catAx>
        <c:axId val="147746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sv-SE"/>
          </a:p>
        </c:txPr>
        <c:crossAx val="147771824"/>
        <c:crosses val="autoZero"/>
        <c:auto val="1"/>
        <c:lblAlgn val="ctr"/>
        <c:lblOffset val="100"/>
        <c:tickLblSkip val="1"/>
        <c:tickMarkSkip val="1"/>
        <c:noMultiLvlLbl val="0"/>
      </c:catAx>
      <c:valAx>
        <c:axId val="14777182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sv-SE"/>
          </a:p>
        </c:txPr>
        <c:crossAx val="147746440"/>
        <c:crosses val="autoZero"/>
        <c:crossBetween val="between"/>
        <c:majorUnit val="0.2"/>
      </c:valAx>
      <c:spPr>
        <a:solidFill>
          <a:srgbClr val="C0C0C0"/>
        </a:solidFill>
        <a:ln w="12700">
          <a:solidFill>
            <a:srgbClr val="808080"/>
          </a:solidFill>
          <a:prstDash val="solid"/>
        </a:ln>
      </c:spPr>
    </c:plotArea>
    <c:legend>
      <c:legendPos val="b"/>
      <c:layout>
        <c:manualLayout>
          <c:xMode val="edge"/>
          <c:yMode val="edge"/>
          <c:x val="0.21661920321919417"/>
          <c:y val="0.80270447612967299"/>
          <c:w val="0.60688163259131522"/>
          <c:h val="0.13399517627864077"/>
        </c:manualLayout>
      </c:layout>
      <c:overlay val="0"/>
      <c:spPr>
        <a:solidFill>
          <a:srgbClr val="FFFFFF"/>
        </a:solidFill>
        <a:ln w="3175">
          <a:solidFill>
            <a:srgbClr val="000000"/>
          </a:solidFill>
          <a:prstDash val="solid"/>
        </a:ln>
      </c:spPr>
      <c:txPr>
        <a:bodyPr/>
        <a:lstStyle/>
        <a:p>
          <a:pPr>
            <a:defRPr sz="475" b="0" i="0" u="none" strike="noStrike" baseline="0">
              <a:solidFill>
                <a:srgbClr val="000000"/>
              </a:solidFill>
              <a:latin typeface="Arial"/>
              <a:ea typeface="Arial"/>
              <a:cs typeface="Arial"/>
            </a:defRPr>
          </a:pPr>
          <a:endParaRPr lang="sv-SE"/>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sv-S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sv-SE"/>
              <a:t>kg CO / NOx / Partiklar från däck</a:t>
            </a:r>
          </a:p>
        </c:rich>
      </c:tx>
      <c:layout>
        <c:manualLayout>
          <c:xMode val="edge"/>
          <c:yMode val="edge"/>
          <c:x val="0.10626566416040102"/>
          <c:y val="3.7593984962406013E-2"/>
        </c:manualLayout>
      </c:layout>
      <c:overlay val="0"/>
    </c:title>
    <c:autoTitleDeleted val="0"/>
    <c:plotArea>
      <c:layout/>
      <c:barChart>
        <c:barDir val="col"/>
        <c:grouping val="clustered"/>
        <c:varyColors val="0"/>
        <c:ser>
          <c:idx val="0"/>
          <c:order val="0"/>
          <c:tx>
            <c:strRef>
              <c:f>'Diagram 5, 7 och 8'!$H$4</c:f>
              <c:strCache>
                <c:ptCount val="1"/>
                <c:pt idx="0">
                  <c:v>2017</c:v>
                </c:pt>
              </c:strCache>
            </c:strRef>
          </c:tx>
          <c:invertIfNegative val="0"/>
          <c:cat>
            <c:strRef>
              <c:f>'Diagram 5, 7 och 8'!$A$5:$A$7</c:f>
              <c:strCache>
                <c:ptCount val="3"/>
                <c:pt idx="0">
                  <c:v>kg CO</c:v>
                </c:pt>
                <c:pt idx="1">
                  <c:v>kg NOx</c:v>
                </c:pt>
                <c:pt idx="2">
                  <c:v>kg Partiklar från däck</c:v>
                </c:pt>
              </c:strCache>
            </c:strRef>
          </c:cat>
          <c:val>
            <c:numRef>
              <c:f>'Diagram 5, 7 och 8'!$H$5:$H$7</c:f>
              <c:numCache>
                <c:formatCode>#,##0</c:formatCode>
                <c:ptCount val="3"/>
                <c:pt idx="0">
                  <c:v>32762.7</c:v>
                </c:pt>
                <c:pt idx="1">
                  <c:v>7572.7</c:v>
                </c:pt>
                <c:pt idx="2" formatCode="_-* #\ ##0\ _k_r_-;\-* #\ ##0\ _k_r_-;_-* &quot;-&quot;??\ _k_r_-;_-@_-">
                  <c:v>23976</c:v>
                </c:pt>
              </c:numCache>
            </c:numRef>
          </c:val>
        </c:ser>
        <c:ser>
          <c:idx val="1"/>
          <c:order val="1"/>
          <c:tx>
            <c:strRef>
              <c:f>'Diagram 5, 7 och 8'!$I$4</c:f>
              <c:strCache>
                <c:ptCount val="1"/>
                <c:pt idx="0">
                  <c:v>2018</c:v>
                </c:pt>
              </c:strCache>
            </c:strRef>
          </c:tx>
          <c:invertIfNegative val="0"/>
          <c:cat>
            <c:strRef>
              <c:f>'Diagram 5, 7 och 8'!$A$5:$A$7</c:f>
              <c:strCache>
                <c:ptCount val="3"/>
                <c:pt idx="0">
                  <c:v>kg CO</c:v>
                </c:pt>
                <c:pt idx="1">
                  <c:v>kg NOx</c:v>
                </c:pt>
                <c:pt idx="2">
                  <c:v>kg Partiklar från däck</c:v>
                </c:pt>
              </c:strCache>
            </c:strRef>
          </c:cat>
          <c:val>
            <c:numRef>
              <c:f>'Diagram 5, 7 och 8'!$I$5:$I$7</c:f>
              <c:numCache>
                <c:formatCode>#,##0</c:formatCode>
                <c:ptCount val="3"/>
                <c:pt idx="0">
                  <c:v>34979</c:v>
                </c:pt>
                <c:pt idx="1">
                  <c:v>5760</c:v>
                </c:pt>
                <c:pt idx="2" formatCode="_-* #\ ##0\ _k_r_-;\-* #\ ##0\ _k_r_-;_-* &quot;-&quot;??\ _k_r_-;_-@_-">
                  <c:v>26227</c:v>
                </c:pt>
              </c:numCache>
            </c:numRef>
          </c:val>
        </c:ser>
        <c:ser>
          <c:idx val="2"/>
          <c:order val="2"/>
          <c:tx>
            <c:strRef>
              <c:f>'Diagram 5, 7 och 8'!$J$4</c:f>
              <c:strCache>
                <c:ptCount val="1"/>
                <c:pt idx="0">
                  <c:v>2019</c:v>
                </c:pt>
              </c:strCache>
            </c:strRef>
          </c:tx>
          <c:invertIfNegative val="0"/>
          <c:cat>
            <c:strRef>
              <c:f>'Diagram 5, 7 och 8'!$A$5:$A$7</c:f>
              <c:strCache>
                <c:ptCount val="3"/>
                <c:pt idx="0">
                  <c:v>kg CO</c:v>
                </c:pt>
                <c:pt idx="1">
                  <c:v>kg NOx</c:v>
                </c:pt>
                <c:pt idx="2">
                  <c:v>kg Partiklar från däck</c:v>
                </c:pt>
              </c:strCache>
            </c:strRef>
          </c:cat>
          <c:val>
            <c:numRef>
              <c:f>'Diagram 5, 7 och 8'!$J$5:$J$7</c:f>
              <c:numCache>
                <c:formatCode>#,##0</c:formatCode>
                <c:ptCount val="3"/>
                <c:pt idx="0">
                  <c:v>48451</c:v>
                </c:pt>
                <c:pt idx="1">
                  <c:v>8865</c:v>
                </c:pt>
                <c:pt idx="2" formatCode="_-* #\ ##0\ _k_r_-;\-* #\ ##0\ _k_r_-;_-* &quot;-&quot;??\ _k_r_-;_-@_-">
                  <c:v>36532</c:v>
                </c:pt>
              </c:numCache>
            </c:numRef>
          </c:val>
        </c:ser>
        <c:dLbls>
          <c:showLegendKey val="0"/>
          <c:showVal val="0"/>
          <c:showCatName val="0"/>
          <c:showSerName val="0"/>
          <c:showPercent val="0"/>
          <c:showBubbleSize val="0"/>
        </c:dLbls>
        <c:gapWidth val="150"/>
        <c:axId val="114292712"/>
        <c:axId val="114293104"/>
      </c:barChart>
      <c:catAx>
        <c:axId val="1142927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14293104"/>
        <c:crosses val="autoZero"/>
        <c:auto val="1"/>
        <c:lblAlgn val="ctr"/>
        <c:lblOffset val="100"/>
        <c:noMultiLvlLbl val="0"/>
      </c:catAx>
      <c:valAx>
        <c:axId val="11429310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14292712"/>
        <c:crosses val="autoZero"/>
        <c:crossBetween val="between"/>
      </c:valAx>
    </c:plotArea>
    <c:legend>
      <c:legendPos val="r"/>
      <c:layout>
        <c:manualLayout>
          <c:xMode val="edge"/>
          <c:yMode val="edge"/>
          <c:x val="0.88524682769916929"/>
          <c:y val="0.45488919148264362"/>
          <c:w val="8.8341177747518401E-2"/>
          <c:h val="0.27402906873482918"/>
        </c:manualLayout>
      </c:layout>
      <c:overlay val="0"/>
      <c:txPr>
        <a:bodyPr/>
        <a:lstStyle/>
        <a:p>
          <a:pPr>
            <a:defRPr sz="710" b="0" i="0" u="none" strike="noStrike" baseline="0">
              <a:solidFill>
                <a:srgbClr val="000000"/>
              </a:solidFill>
              <a:latin typeface="Calibri"/>
              <a:ea typeface="Calibri"/>
              <a:cs typeface="Calibri"/>
            </a:defRPr>
          </a:pPr>
          <a:endParaRPr lang="sv-SE"/>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800" b="1" i="0" u="none" strike="noStrike" baseline="0">
              <a:solidFill>
                <a:srgbClr val="000000"/>
              </a:solidFill>
              <a:latin typeface="Calibri"/>
              <a:ea typeface="Calibri"/>
              <a:cs typeface="Calibri"/>
            </a:defRPr>
          </a:pPr>
          <a:endParaRPr lang="sv-SE"/>
        </a:p>
      </c:txPr>
    </c:title>
    <c:autoTitleDeleted val="0"/>
    <c:plotArea>
      <c:layout/>
      <c:barChart>
        <c:barDir val="col"/>
        <c:grouping val="clustered"/>
        <c:varyColors val="0"/>
        <c:ser>
          <c:idx val="0"/>
          <c:order val="0"/>
          <c:tx>
            <c:strRef>
              <c:f>'Diagram 5, 7 och 8'!$A$12</c:f>
              <c:strCache>
                <c:ptCount val="1"/>
                <c:pt idx="0">
                  <c:v>kg Partiklar från diesel</c:v>
                </c:pt>
              </c:strCache>
            </c:strRef>
          </c:tx>
          <c:invertIfNegative val="0"/>
          <c:cat>
            <c:numRef>
              <c:f>'Diagram 5, 7 och 8'!$F$11:$J$11</c:f>
              <c:numCache>
                <c:formatCode>General</c:formatCode>
                <c:ptCount val="5"/>
                <c:pt idx="0">
                  <c:v>2015</c:v>
                </c:pt>
                <c:pt idx="1">
                  <c:v>2016</c:v>
                </c:pt>
                <c:pt idx="2">
                  <c:v>2017</c:v>
                </c:pt>
                <c:pt idx="3">
                  <c:v>2018</c:v>
                </c:pt>
                <c:pt idx="4">
                  <c:v>2019</c:v>
                </c:pt>
              </c:numCache>
            </c:numRef>
          </c:cat>
          <c:val>
            <c:numRef>
              <c:f>'Diagram 5, 7 och 8'!$F$12:$J$12</c:f>
              <c:numCache>
                <c:formatCode>_-* #\ ##0\ _k_r_-;\-* #\ ##0\ _k_r_-;_-* "-"??\ _k_r_-;_-@_-</c:formatCode>
                <c:ptCount val="5"/>
                <c:pt idx="0">
                  <c:v>104</c:v>
                </c:pt>
                <c:pt idx="1">
                  <c:v>122</c:v>
                </c:pt>
                <c:pt idx="2">
                  <c:v>89</c:v>
                </c:pt>
                <c:pt idx="3">
                  <c:v>62.8</c:v>
                </c:pt>
                <c:pt idx="4">
                  <c:v>124</c:v>
                </c:pt>
              </c:numCache>
            </c:numRef>
          </c:val>
        </c:ser>
        <c:dLbls>
          <c:showLegendKey val="0"/>
          <c:showVal val="0"/>
          <c:showCatName val="0"/>
          <c:showSerName val="0"/>
          <c:showPercent val="0"/>
          <c:showBubbleSize val="0"/>
        </c:dLbls>
        <c:gapWidth val="150"/>
        <c:axId val="114293888"/>
        <c:axId val="148144024"/>
      </c:barChart>
      <c:catAx>
        <c:axId val="11429388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48144024"/>
        <c:crosses val="autoZero"/>
        <c:auto val="1"/>
        <c:lblAlgn val="ctr"/>
        <c:lblOffset val="100"/>
        <c:noMultiLvlLbl val="0"/>
      </c:catAx>
      <c:valAx>
        <c:axId val="148144024"/>
        <c:scaling>
          <c:orientation val="minMax"/>
        </c:scaling>
        <c:delete val="0"/>
        <c:axPos val="l"/>
        <c:majorGridlines/>
        <c:numFmt formatCode="_-* #\ ##0\ _k_r_-;\-* #\ ##0\ _k_r_-;_-* &quot;-&quot;??\ _k_r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14293888"/>
        <c:crosses val="autoZero"/>
        <c:crossBetween val="between"/>
      </c:valAx>
    </c:plotArea>
    <c:legend>
      <c:legendPos val="r"/>
      <c:layout>
        <c:manualLayout>
          <c:xMode val="edge"/>
          <c:yMode val="edge"/>
          <c:x val="0.7179508281803757"/>
          <c:y val="0.56015284273676325"/>
          <c:w val="0.25641092179861702"/>
          <c:h val="9.0226057269157112E-2"/>
        </c:manualLayout>
      </c:layout>
      <c:overlay val="0"/>
      <c:txPr>
        <a:bodyPr/>
        <a:lstStyle/>
        <a:p>
          <a:pPr>
            <a:defRPr sz="710" b="0" i="0" u="none" strike="noStrike" baseline="0">
              <a:solidFill>
                <a:srgbClr val="000000"/>
              </a:solidFill>
              <a:latin typeface="Calibri"/>
              <a:ea typeface="Calibri"/>
              <a:cs typeface="Calibri"/>
            </a:defRPr>
          </a:pPr>
          <a:endParaRPr lang="sv-SE"/>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sv-SE"/>
              <a:t>Vattenförbrukning totalt</a:t>
            </a:r>
          </a:p>
        </c:rich>
      </c:tx>
      <c:layout>
        <c:manualLayout>
          <c:xMode val="edge"/>
          <c:yMode val="edge"/>
          <c:x val="0.28154718769036391"/>
          <c:y val="0"/>
        </c:manualLayout>
      </c:layout>
      <c:overlay val="0"/>
    </c:title>
    <c:autoTitleDeleted val="0"/>
    <c:plotArea>
      <c:layout>
        <c:manualLayout>
          <c:layoutTarget val="inner"/>
          <c:xMode val="edge"/>
          <c:yMode val="edge"/>
          <c:x val="0.10165876865181024"/>
          <c:y val="0.17572823372030358"/>
          <c:w val="0.875803131553614"/>
          <c:h val="0.58982735409654263"/>
        </c:manualLayout>
      </c:layout>
      <c:barChart>
        <c:barDir val="col"/>
        <c:grouping val="clustered"/>
        <c:varyColors val="0"/>
        <c:ser>
          <c:idx val="1"/>
          <c:order val="0"/>
          <c:tx>
            <c:strRef>
              <c:f>'Diagram 4'!$R$33</c:f>
              <c:strCache>
                <c:ptCount val="1"/>
                <c:pt idx="0">
                  <c:v>2017</c:v>
                </c:pt>
              </c:strCache>
            </c:strRef>
          </c:tx>
          <c:invertIfNegative val="0"/>
          <c:cat>
            <c:strRef>
              <c:f>'Diagram 4'!$J$34:$J$36</c:f>
              <c:strCache>
                <c:ptCount val="3"/>
                <c:pt idx="0">
                  <c:v>Svanen</c:v>
                </c:pt>
                <c:pt idx="1">
                  <c:v>Macken</c:v>
                </c:pt>
                <c:pt idx="2">
                  <c:v>Högtryck</c:v>
                </c:pt>
              </c:strCache>
            </c:strRef>
          </c:cat>
          <c:val>
            <c:numRef>
              <c:f>'Diagram 4'!$R$34:$R$36</c:f>
              <c:numCache>
                <c:formatCode>_-* #\ ##0\ _k_r_-;\-* #\ ##0\ _k_r_-;_-* "-"??\ _k_r_-;_-@_-</c:formatCode>
                <c:ptCount val="3"/>
                <c:pt idx="0">
                  <c:v>5914</c:v>
                </c:pt>
                <c:pt idx="1">
                  <c:v>1589</c:v>
                </c:pt>
                <c:pt idx="2">
                  <c:v>8047</c:v>
                </c:pt>
              </c:numCache>
            </c:numRef>
          </c:val>
        </c:ser>
        <c:ser>
          <c:idx val="4"/>
          <c:order val="1"/>
          <c:tx>
            <c:strRef>
              <c:f>'Diagram 4'!$S$33</c:f>
              <c:strCache>
                <c:ptCount val="1"/>
                <c:pt idx="0">
                  <c:v>2018</c:v>
                </c:pt>
              </c:strCache>
            </c:strRef>
          </c:tx>
          <c:invertIfNegative val="0"/>
          <c:cat>
            <c:strRef>
              <c:f>'Diagram 4'!$J$34:$J$36</c:f>
              <c:strCache>
                <c:ptCount val="3"/>
                <c:pt idx="0">
                  <c:v>Svanen</c:v>
                </c:pt>
                <c:pt idx="1">
                  <c:v>Macken</c:v>
                </c:pt>
                <c:pt idx="2">
                  <c:v>Högtryck</c:v>
                </c:pt>
              </c:strCache>
            </c:strRef>
          </c:cat>
          <c:val>
            <c:numRef>
              <c:f>'Diagram 4'!$S$34:$S$36</c:f>
              <c:numCache>
                <c:formatCode>_-* #\ ##0\ _k_r_-;\-* #\ ##0\ _k_r_-;_-* "-"??\ _k_r_-;_-@_-</c:formatCode>
                <c:ptCount val="3"/>
                <c:pt idx="0">
                  <c:v>5914</c:v>
                </c:pt>
                <c:pt idx="1">
                  <c:v>2511</c:v>
                </c:pt>
                <c:pt idx="2">
                  <c:v>7322</c:v>
                </c:pt>
              </c:numCache>
            </c:numRef>
          </c:val>
        </c:ser>
        <c:ser>
          <c:idx val="3"/>
          <c:order val="2"/>
          <c:tx>
            <c:strRef>
              <c:f>'Diagram 4'!$T$33</c:f>
              <c:strCache>
                <c:ptCount val="1"/>
                <c:pt idx="0">
                  <c:v>2019</c:v>
                </c:pt>
              </c:strCache>
            </c:strRef>
          </c:tx>
          <c:invertIfNegative val="0"/>
          <c:cat>
            <c:strRef>
              <c:f>'Diagram 4'!$J$34:$J$36</c:f>
              <c:strCache>
                <c:ptCount val="3"/>
                <c:pt idx="0">
                  <c:v>Svanen</c:v>
                </c:pt>
                <c:pt idx="1">
                  <c:v>Macken</c:v>
                </c:pt>
                <c:pt idx="2">
                  <c:v>Högtryck</c:v>
                </c:pt>
              </c:strCache>
            </c:strRef>
          </c:cat>
          <c:val>
            <c:numRef>
              <c:f>'Diagram 4'!$T$34:$T$36</c:f>
              <c:numCache>
                <c:formatCode>_-* #\ ##0\ _k_r_-;\-* #\ ##0\ _k_r_-;_-* "-"??\ _k_r_-;_-@_-</c:formatCode>
                <c:ptCount val="3"/>
                <c:pt idx="0">
                  <c:v>5790</c:v>
                </c:pt>
                <c:pt idx="1">
                  <c:v>2238</c:v>
                </c:pt>
                <c:pt idx="2">
                  <c:v>6661</c:v>
                </c:pt>
              </c:numCache>
            </c:numRef>
          </c:val>
        </c:ser>
        <c:dLbls>
          <c:showLegendKey val="0"/>
          <c:showVal val="0"/>
          <c:showCatName val="0"/>
          <c:showSerName val="0"/>
          <c:showPercent val="0"/>
          <c:showBubbleSize val="0"/>
        </c:dLbls>
        <c:gapWidth val="75"/>
        <c:overlap val="-25"/>
        <c:axId val="148144808"/>
        <c:axId val="148145200"/>
      </c:barChart>
      <c:catAx>
        <c:axId val="14814480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48145200"/>
        <c:crosses val="autoZero"/>
        <c:auto val="1"/>
        <c:lblAlgn val="ctr"/>
        <c:lblOffset val="100"/>
        <c:noMultiLvlLbl val="0"/>
      </c:catAx>
      <c:valAx>
        <c:axId val="148145200"/>
        <c:scaling>
          <c:orientation val="minMax"/>
        </c:scaling>
        <c:delete val="0"/>
        <c:axPos val="l"/>
        <c:majorGridlines/>
        <c:numFmt formatCode="_-* #\ ##0\ _k_r_-;\-* #\ ##0\ _k_r_-;_-* &quot;-&quot;??\ _k_r_-;_-@_-"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sv-SE"/>
          </a:p>
        </c:txPr>
        <c:crossAx val="148144808"/>
        <c:crosses val="autoZero"/>
        <c:crossBetween val="between"/>
      </c:valAx>
    </c:plotArea>
    <c:legend>
      <c:legendPos val="r"/>
      <c:layout>
        <c:manualLayout>
          <c:xMode val="edge"/>
          <c:yMode val="edge"/>
          <c:x val="0.36265304558914208"/>
          <c:y val="0.88224637681159424"/>
          <c:w val="0.26860878458778076"/>
          <c:h val="4.9818840579710144E-2"/>
        </c:manualLayout>
      </c:layout>
      <c:overlay val="0"/>
      <c:txPr>
        <a:bodyPr/>
        <a:lstStyle/>
        <a:p>
          <a:pPr>
            <a:defRPr sz="1100" b="0" i="0" u="none" strike="noStrike" baseline="0">
              <a:solidFill>
                <a:srgbClr val="000000"/>
              </a:solidFill>
              <a:latin typeface="Calibri"/>
              <a:ea typeface="Calibri"/>
              <a:cs typeface="Calibri"/>
            </a:defRPr>
          </a:pPr>
          <a:endParaRPr lang="sv-SE"/>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'Diagram 16'!$C$2</c:f>
              <c:strCache>
                <c:ptCount val="1"/>
                <c:pt idx="0">
                  <c:v>2017</c:v>
                </c:pt>
              </c:strCache>
            </c:strRef>
          </c:tx>
          <c:invertIfNegative val="0"/>
          <c:cat>
            <c:strRef>
              <c:f>'Diagram 16'!$B$8:$B$10</c:f>
              <c:strCache>
                <c:ptCount val="3"/>
                <c:pt idx="0">
                  <c:v>&lt; 30 år </c:v>
                </c:pt>
                <c:pt idx="1">
                  <c:v>30 - 50 år</c:v>
                </c:pt>
                <c:pt idx="2">
                  <c:v>&gt; 50 år</c:v>
                </c:pt>
              </c:strCache>
            </c:strRef>
          </c:cat>
          <c:val>
            <c:numRef>
              <c:f>'Diagram 16'!$C$8:$C$10</c:f>
              <c:numCache>
                <c:formatCode>0%</c:formatCode>
                <c:ptCount val="3"/>
                <c:pt idx="0">
                  <c:v>0</c:v>
                </c:pt>
                <c:pt idx="1">
                  <c:v>0.72</c:v>
                </c:pt>
                <c:pt idx="2">
                  <c:v>0.28000000000000003</c:v>
                </c:pt>
              </c:numCache>
            </c:numRef>
          </c:val>
        </c:ser>
        <c:ser>
          <c:idx val="1"/>
          <c:order val="1"/>
          <c:tx>
            <c:strRef>
              <c:f>'Diagram 16'!$D$2</c:f>
              <c:strCache>
                <c:ptCount val="1"/>
                <c:pt idx="0">
                  <c:v>2018</c:v>
                </c:pt>
              </c:strCache>
            </c:strRef>
          </c:tx>
          <c:invertIfNegative val="0"/>
          <c:cat>
            <c:strRef>
              <c:f>'Diagram 16'!$B$8:$B$10</c:f>
              <c:strCache>
                <c:ptCount val="3"/>
                <c:pt idx="0">
                  <c:v>&lt; 30 år </c:v>
                </c:pt>
                <c:pt idx="1">
                  <c:v>30 - 50 år</c:v>
                </c:pt>
                <c:pt idx="2">
                  <c:v>&gt; 50 år</c:v>
                </c:pt>
              </c:strCache>
            </c:strRef>
          </c:cat>
          <c:val>
            <c:numRef>
              <c:f>'Diagram 16'!$D$8:$D$10</c:f>
              <c:numCache>
                <c:formatCode>0%</c:formatCode>
                <c:ptCount val="3"/>
                <c:pt idx="0">
                  <c:v>0.05</c:v>
                </c:pt>
                <c:pt idx="1">
                  <c:v>0.65</c:v>
                </c:pt>
                <c:pt idx="2">
                  <c:v>0.3</c:v>
                </c:pt>
              </c:numCache>
            </c:numRef>
          </c:val>
        </c:ser>
        <c:ser>
          <c:idx val="2"/>
          <c:order val="2"/>
          <c:tx>
            <c:strRef>
              <c:f>'Diagram 16'!$E$2</c:f>
              <c:strCache>
                <c:ptCount val="1"/>
                <c:pt idx="0">
                  <c:v>2019</c:v>
                </c:pt>
              </c:strCache>
            </c:strRef>
          </c:tx>
          <c:invertIfNegative val="0"/>
          <c:cat>
            <c:strRef>
              <c:f>'Diagram 16'!$B$8:$B$10</c:f>
              <c:strCache>
                <c:ptCount val="3"/>
                <c:pt idx="0">
                  <c:v>&lt; 30 år </c:v>
                </c:pt>
                <c:pt idx="1">
                  <c:v>30 - 50 år</c:v>
                </c:pt>
                <c:pt idx="2">
                  <c:v>&gt; 50 år</c:v>
                </c:pt>
              </c:strCache>
            </c:strRef>
          </c:cat>
          <c:val>
            <c:numRef>
              <c:f>'Diagram 16'!$E$8:$E$10</c:f>
              <c:numCache>
                <c:formatCode>0%</c:formatCode>
                <c:ptCount val="3"/>
                <c:pt idx="0">
                  <c:v>0.05</c:v>
                </c:pt>
                <c:pt idx="1">
                  <c:v>0.8</c:v>
                </c:pt>
                <c:pt idx="2">
                  <c:v>0.2</c:v>
                </c:pt>
              </c:numCache>
            </c:numRef>
          </c:val>
        </c:ser>
        <c:dLbls>
          <c:showLegendKey val="0"/>
          <c:showVal val="0"/>
          <c:showCatName val="0"/>
          <c:showSerName val="0"/>
          <c:showPercent val="0"/>
          <c:showBubbleSize val="0"/>
        </c:dLbls>
        <c:gapWidth val="150"/>
        <c:axId val="332752832"/>
        <c:axId val="332753224"/>
      </c:barChart>
      <c:catAx>
        <c:axId val="3327528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332753224"/>
        <c:crosses val="autoZero"/>
        <c:auto val="1"/>
        <c:lblAlgn val="ctr"/>
        <c:lblOffset val="100"/>
        <c:noMultiLvlLbl val="0"/>
      </c:catAx>
      <c:valAx>
        <c:axId val="332753224"/>
        <c:scaling>
          <c:orientation val="minMax"/>
          <c:max val="0.8"/>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332752832"/>
        <c:crosses val="autoZero"/>
        <c:crossBetween val="between"/>
        <c:majorUnit val="0.2"/>
      </c:valAx>
    </c:plotArea>
    <c:legend>
      <c:legendPos val="r"/>
      <c:layout>
        <c:manualLayout>
          <c:xMode val="edge"/>
          <c:yMode val="edge"/>
          <c:x val="0.90959666203059808"/>
          <c:y val="0.36561342628614107"/>
          <c:w val="7.3713490959666172E-2"/>
          <c:h val="0.26482265309721659"/>
        </c:manualLayout>
      </c:layout>
      <c:overlay val="0"/>
      <c:txPr>
        <a:bodyPr/>
        <a:lstStyle/>
        <a:p>
          <a:pPr>
            <a:defRPr sz="775" b="0" i="0" u="none" strike="noStrike" baseline="0">
              <a:solidFill>
                <a:srgbClr val="000000"/>
              </a:solidFill>
              <a:latin typeface="Calibri"/>
              <a:ea typeface="Calibri"/>
              <a:cs typeface="Calibri"/>
            </a:defRPr>
          </a:pPr>
          <a:endParaRPr lang="sv-SE"/>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'Diagram 16'!$C$2</c:f>
              <c:strCache>
                <c:ptCount val="1"/>
                <c:pt idx="0">
                  <c:v>2017</c:v>
                </c:pt>
              </c:strCache>
            </c:strRef>
          </c:tx>
          <c:invertIfNegative val="0"/>
          <c:cat>
            <c:strRef>
              <c:f>'Diagram 16'!$B$8:$B$10</c:f>
              <c:strCache>
                <c:ptCount val="3"/>
                <c:pt idx="0">
                  <c:v>&lt; 30 år </c:v>
                </c:pt>
                <c:pt idx="1">
                  <c:v>30 - 50 år</c:v>
                </c:pt>
                <c:pt idx="2">
                  <c:v>&gt; 50 år</c:v>
                </c:pt>
              </c:strCache>
            </c:strRef>
          </c:cat>
          <c:val>
            <c:numRef>
              <c:f>'Diagram 16'!$C$8:$C$10</c:f>
              <c:numCache>
                <c:formatCode>0%</c:formatCode>
                <c:ptCount val="3"/>
                <c:pt idx="0">
                  <c:v>0</c:v>
                </c:pt>
                <c:pt idx="1">
                  <c:v>0.72</c:v>
                </c:pt>
                <c:pt idx="2">
                  <c:v>0.28000000000000003</c:v>
                </c:pt>
              </c:numCache>
            </c:numRef>
          </c:val>
        </c:ser>
        <c:ser>
          <c:idx val="1"/>
          <c:order val="1"/>
          <c:tx>
            <c:strRef>
              <c:f>'Diagram 16'!$D$2</c:f>
              <c:strCache>
                <c:ptCount val="1"/>
                <c:pt idx="0">
                  <c:v>2018</c:v>
                </c:pt>
              </c:strCache>
            </c:strRef>
          </c:tx>
          <c:invertIfNegative val="0"/>
          <c:cat>
            <c:strRef>
              <c:f>'Diagram 16'!$B$8:$B$10</c:f>
              <c:strCache>
                <c:ptCount val="3"/>
                <c:pt idx="0">
                  <c:v>&lt; 30 år </c:v>
                </c:pt>
                <c:pt idx="1">
                  <c:v>30 - 50 år</c:v>
                </c:pt>
                <c:pt idx="2">
                  <c:v>&gt; 50 år</c:v>
                </c:pt>
              </c:strCache>
            </c:strRef>
          </c:cat>
          <c:val>
            <c:numRef>
              <c:f>'Diagram 16'!$D$8:$D$10</c:f>
              <c:numCache>
                <c:formatCode>0%</c:formatCode>
                <c:ptCount val="3"/>
                <c:pt idx="0">
                  <c:v>0.05</c:v>
                </c:pt>
                <c:pt idx="1">
                  <c:v>0.65</c:v>
                </c:pt>
                <c:pt idx="2">
                  <c:v>0.3</c:v>
                </c:pt>
              </c:numCache>
            </c:numRef>
          </c:val>
        </c:ser>
        <c:ser>
          <c:idx val="2"/>
          <c:order val="2"/>
          <c:tx>
            <c:strRef>
              <c:f>'Diagram 16'!$E$2</c:f>
              <c:strCache>
                <c:ptCount val="1"/>
                <c:pt idx="0">
                  <c:v>2019</c:v>
                </c:pt>
              </c:strCache>
            </c:strRef>
          </c:tx>
          <c:invertIfNegative val="0"/>
          <c:cat>
            <c:strRef>
              <c:f>'Diagram 16'!$B$8:$B$10</c:f>
              <c:strCache>
                <c:ptCount val="3"/>
                <c:pt idx="0">
                  <c:v>&lt; 30 år </c:v>
                </c:pt>
                <c:pt idx="1">
                  <c:v>30 - 50 år</c:v>
                </c:pt>
                <c:pt idx="2">
                  <c:v>&gt; 50 år</c:v>
                </c:pt>
              </c:strCache>
            </c:strRef>
          </c:cat>
          <c:val>
            <c:numRef>
              <c:f>'Diagram 16'!$E$8:$E$10</c:f>
              <c:numCache>
                <c:formatCode>0%</c:formatCode>
                <c:ptCount val="3"/>
                <c:pt idx="0">
                  <c:v>0.05</c:v>
                </c:pt>
                <c:pt idx="1">
                  <c:v>0.8</c:v>
                </c:pt>
                <c:pt idx="2">
                  <c:v>0.2</c:v>
                </c:pt>
              </c:numCache>
            </c:numRef>
          </c:val>
        </c:ser>
        <c:dLbls>
          <c:showLegendKey val="0"/>
          <c:showVal val="0"/>
          <c:showCatName val="0"/>
          <c:showSerName val="0"/>
          <c:showPercent val="0"/>
          <c:showBubbleSize val="0"/>
        </c:dLbls>
        <c:gapWidth val="150"/>
        <c:axId val="374270352"/>
        <c:axId val="528695096"/>
      </c:barChart>
      <c:catAx>
        <c:axId val="37427035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528695096"/>
        <c:crosses val="autoZero"/>
        <c:auto val="1"/>
        <c:lblAlgn val="ctr"/>
        <c:lblOffset val="100"/>
        <c:noMultiLvlLbl val="0"/>
      </c:catAx>
      <c:valAx>
        <c:axId val="528695096"/>
        <c:scaling>
          <c:orientation val="minMax"/>
          <c:max val="0.8"/>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374270352"/>
        <c:crosses val="autoZero"/>
        <c:crossBetween val="between"/>
        <c:majorUnit val="0.2"/>
      </c:valAx>
    </c:plotArea>
    <c:legend>
      <c:legendPos val="r"/>
      <c:layout>
        <c:manualLayout>
          <c:xMode val="edge"/>
          <c:yMode val="edge"/>
          <c:x val="0.90959666203059808"/>
          <c:y val="0.36561342628614107"/>
          <c:w val="7.3713490959666172E-2"/>
          <c:h val="0.26482265309721659"/>
        </c:manualLayout>
      </c:layout>
      <c:overlay val="0"/>
      <c:txPr>
        <a:bodyPr/>
        <a:lstStyle/>
        <a:p>
          <a:pPr>
            <a:defRPr sz="775" b="0" i="0" u="none" strike="noStrike" baseline="0">
              <a:solidFill>
                <a:srgbClr val="000000"/>
              </a:solidFill>
              <a:latin typeface="Calibri"/>
              <a:ea typeface="Calibri"/>
              <a:cs typeface="Calibri"/>
            </a:defRPr>
          </a:pPr>
          <a:endParaRPr lang="sv-SE"/>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978D-B6F2-46C9-8841-C4811DEE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8626</Words>
  <Characters>45723</Characters>
  <Application>Microsoft Office Word</Application>
  <DocSecurity>0</DocSecurity>
  <Lines>381</Lines>
  <Paragraphs>108</Paragraphs>
  <ScaleCrop>false</ScaleCrop>
  <HeadingPairs>
    <vt:vector size="2" baseType="variant">
      <vt:variant>
        <vt:lpstr>Rubrik</vt:lpstr>
      </vt:variant>
      <vt:variant>
        <vt:i4>1</vt:i4>
      </vt:variant>
    </vt:vector>
  </HeadingPairs>
  <TitlesOfParts>
    <vt:vector size="1" baseType="lpstr">
      <vt:lpstr/>
    </vt:vector>
  </TitlesOfParts>
  <Company>Hertz</Company>
  <LinksUpToDate>false</LinksUpToDate>
  <CharactersWithSpaces>54241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Bergman</dc:creator>
  <cp:keywords/>
  <dc:description/>
  <cp:lastModifiedBy>Susanne Bergman</cp:lastModifiedBy>
  <cp:revision>2</cp:revision>
  <cp:lastPrinted>2016-06-09T06:14:00Z</cp:lastPrinted>
  <dcterms:created xsi:type="dcterms:W3CDTF">2020-06-17T07:46:00Z</dcterms:created>
  <dcterms:modified xsi:type="dcterms:W3CDTF">2020-06-17T07:46:00Z</dcterms:modified>
</cp:coreProperties>
</file>