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38" w:rsidRDefault="00347338">
      <w:pPr>
        <w:rPr>
          <w:b/>
          <w:bCs/>
        </w:rPr>
      </w:pPr>
    </w:p>
    <w:p w:rsidR="002C2F87" w:rsidRPr="002C2F87" w:rsidRDefault="002C2F87" w:rsidP="002C2F87">
      <w:pPr>
        <w:jc w:val="both"/>
        <w:rPr>
          <w:rFonts w:ascii="Times New Roman" w:hAnsi="Times New Roman" w:cs="Times New Roman"/>
          <w:b/>
          <w:bCs/>
          <w:sz w:val="24"/>
          <w:szCs w:val="24"/>
          <w:lang w:val="fr-FR"/>
        </w:rPr>
      </w:pPr>
      <w:r w:rsidRPr="002C2F87">
        <w:rPr>
          <w:rFonts w:ascii="Times New Roman" w:hAnsi="Times New Roman" w:cs="Times New Roman"/>
          <w:b/>
          <w:bCs/>
          <w:sz w:val="24"/>
          <w:szCs w:val="24"/>
          <w:lang w:val="fr-FR"/>
        </w:rPr>
        <w:t xml:space="preserve">Les </w:t>
      </w:r>
      <w:proofErr w:type="spellStart"/>
      <w:r w:rsidRPr="002C2F87">
        <w:rPr>
          <w:rFonts w:ascii="Times New Roman" w:hAnsi="Times New Roman" w:cs="Times New Roman"/>
          <w:b/>
          <w:bCs/>
          <w:sz w:val="24"/>
          <w:szCs w:val="24"/>
          <w:lang w:val="fr-FR"/>
        </w:rPr>
        <w:t>Batwa</w:t>
      </w:r>
      <w:proofErr w:type="spellEnd"/>
      <w:r w:rsidRPr="002C2F87">
        <w:rPr>
          <w:rFonts w:ascii="Times New Roman" w:hAnsi="Times New Roman" w:cs="Times New Roman"/>
          <w:b/>
          <w:bCs/>
          <w:sz w:val="24"/>
          <w:szCs w:val="24"/>
          <w:lang w:val="fr-FR"/>
        </w:rPr>
        <w:t xml:space="preserve"> et le COVID-19</w:t>
      </w:r>
    </w:p>
    <w:p w:rsidR="002C2F87" w:rsidRPr="002C2F87" w:rsidRDefault="002C2F87" w:rsidP="002C2F87">
      <w:pPr>
        <w:jc w:val="both"/>
        <w:rPr>
          <w:rFonts w:ascii="Times New Roman" w:hAnsi="Times New Roman" w:cs="Times New Roman"/>
          <w:sz w:val="24"/>
          <w:szCs w:val="24"/>
          <w:lang w:val="fr-FR"/>
        </w:rPr>
      </w:pPr>
      <w:r w:rsidRPr="002C2F87">
        <w:rPr>
          <w:rFonts w:ascii="Times New Roman" w:hAnsi="Times New Roman" w:cs="Times New Roman"/>
          <w:sz w:val="24"/>
          <w:szCs w:val="24"/>
          <w:lang w:val="fr-FR"/>
        </w:rPr>
        <w:t xml:space="preserve">Le peuple </w:t>
      </w:r>
      <w:proofErr w:type="spellStart"/>
      <w:r w:rsidRPr="002C2F87">
        <w:rPr>
          <w:rFonts w:ascii="Times New Roman" w:hAnsi="Times New Roman" w:cs="Times New Roman"/>
          <w:sz w:val="24"/>
          <w:szCs w:val="24"/>
          <w:lang w:val="fr-FR"/>
        </w:rPr>
        <w:t>Batwa</w:t>
      </w:r>
      <w:proofErr w:type="spellEnd"/>
      <w:r w:rsidRPr="002C2F87">
        <w:rPr>
          <w:rFonts w:ascii="Times New Roman" w:hAnsi="Times New Roman" w:cs="Times New Roman"/>
          <w:sz w:val="24"/>
          <w:szCs w:val="24"/>
          <w:lang w:val="fr-FR"/>
        </w:rPr>
        <w:t xml:space="preserve"> du Burundi est reconnu en tant que peuple autochtone par la Commission Africaine des Droits de l’Homme et des Peuples, et le système des Nations Unies.</w:t>
      </w:r>
      <w:r w:rsidRPr="00510BD2">
        <w:rPr>
          <w:rStyle w:val="Appelnotedebasdep"/>
          <w:rFonts w:ascii="Times New Roman" w:hAnsi="Times New Roman" w:cs="Times New Roman"/>
          <w:b/>
          <w:bCs/>
          <w:sz w:val="24"/>
          <w:szCs w:val="24"/>
        </w:rPr>
        <w:footnoteReference w:id="1"/>
      </w:r>
      <w:r w:rsidRPr="002C2F87">
        <w:rPr>
          <w:rFonts w:ascii="Times New Roman" w:hAnsi="Times New Roman" w:cs="Times New Roman"/>
          <w:b/>
          <w:bCs/>
          <w:sz w:val="24"/>
          <w:szCs w:val="24"/>
          <w:lang w:val="fr-FR"/>
        </w:rPr>
        <w:t xml:space="preserve"> </w:t>
      </w:r>
      <w:r w:rsidRPr="002C2F87">
        <w:rPr>
          <w:rFonts w:ascii="Times New Roman" w:hAnsi="Times New Roman" w:cs="Times New Roman"/>
          <w:sz w:val="24"/>
          <w:szCs w:val="24"/>
          <w:lang w:val="fr-FR"/>
        </w:rPr>
        <w:t xml:space="preserve">Une histoire de dépossession des terres traditionnelles, de stigmatisation et de discrimination omniprésentes signifie que les </w:t>
      </w:r>
      <w:proofErr w:type="spellStart"/>
      <w:r w:rsidRPr="002C2F87">
        <w:rPr>
          <w:rFonts w:ascii="Times New Roman" w:hAnsi="Times New Roman" w:cs="Times New Roman"/>
          <w:sz w:val="24"/>
          <w:szCs w:val="24"/>
          <w:lang w:val="fr-FR"/>
        </w:rPr>
        <w:t>Batwa</w:t>
      </w:r>
      <w:proofErr w:type="spellEnd"/>
      <w:r w:rsidRPr="002C2F87">
        <w:rPr>
          <w:rFonts w:ascii="Times New Roman" w:hAnsi="Times New Roman" w:cs="Times New Roman"/>
          <w:sz w:val="24"/>
          <w:szCs w:val="24"/>
          <w:lang w:val="fr-FR"/>
        </w:rPr>
        <w:t xml:space="preserve"> sont parmi les plus pauvres des pauvres au Burundi: les documents officiels reconnaissent qu'ils vivent une «pauvreté extrême» et constituent un «groupe vulnérable», «vivant sur les marges de la société ».</w:t>
      </w:r>
      <w:r w:rsidRPr="00510BD2">
        <w:rPr>
          <w:rStyle w:val="Appelnotedebasdep"/>
          <w:rFonts w:ascii="Times New Roman" w:hAnsi="Times New Roman" w:cs="Times New Roman"/>
          <w:sz w:val="24"/>
          <w:szCs w:val="24"/>
        </w:rPr>
        <w:footnoteReference w:id="2"/>
      </w:r>
    </w:p>
    <w:p w:rsidR="002C2F87" w:rsidRPr="00510BD2" w:rsidRDefault="002C2F87" w:rsidP="002C2F87">
      <w:pPr>
        <w:jc w:val="both"/>
        <w:rPr>
          <w:rFonts w:ascii="Times New Roman" w:hAnsi="Times New Roman" w:cs="Times New Roman"/>
          <w:sz w:val="24"/>
          <w:szCs w:val="24"/>
        </w:rPr>
      </w:pPr>
      <w:r w:rsidRPr="002C2F87">
        <w:rPr>
          <w:rFonts w:ascii="Times New Roman" w:hAnsi="Times New Roman" w:cs="Times New Roman"/>
          <w:sz w:val="24"/>
          <w:szCs w:val="24"/>
          <w:lang w:val="fr-FR"/>
        </w:rPr>
        <w:t xml:space="preserve">Ce contexte signifie que les </w:t>
      </w:r>
      <w:proofErr w:type="spellStart"/>
      <w:r w:rsidRPr="002C2F87">
        <w:rPr>
          <w:rFonts w:ascii="Times New Roman" w:hAnsi="Times New Roman" w:cs="Times New Roman"/>
          <w:sz w:val="24"/>
          <w:szCs w:val="24"/>
          <w:lang w:val="fr-FR"/>
        </w:rPr>
        <w:t>Batwa</w:t>
      </w:r>
      <w:proofErr w:type="spellEnd"/>
      <w:r w:rsidRPr="002C2F87">
        <w:rPr>
          <w:rFonts w:ascii="Times New Roman" w:hAnsi="Times New Roman" w:cs="Times New Roman"/>
          <w:sz w:val="24"/>
          <w:szCs w:val="24"/>
          <w:lang w:val="fr-FR"/>
        </w:rPr>
        <w:t xml:space="preserve"> sont extrêmement vulnérables à la fois aux effets sur la santé du COVID-19 et aux effets économiques des mesures potentielles pour contenir la maladie. </w:t>
      </w:r>
      <w:r w:rsidRPr="00510BD2">
        <w:rPr>
          <w:rFonts w:ascii="Times New Roman" w:hAnsi="Times New Roman" w:cs="Times New Roman"/>
          <w:sz w:val="24"/>
          <w:szCs w:val="24"/>
        </w:rPr>
        <w:t xml:space="preserve">Par </w:t>
      </w:r>
      <w:proofErr w:type="spellStart"/>
      <w:r w:rsidRPr="00510BD2">
        <w:rPr>
          <w:rFonts w:ascii="Times New Roman" w:hAnsi="Times New Roman" w:cs="Times New Roman"/>
          <w:sz w:val="24"/>
          <w:szCs w:val="24"/>
        </w:rPr>
        <w:t>exemple</w:t>
      </w:r>
      <w:proofErr w:type="spellEnd"/>
      <w:r w:rsidRPr="00510BD2">
        <w:rPr>
          <w:rFonts w:ascii="Times New Roman" w:hAnsi="Times New Roman" w:cs="Times New Roman"/>
          <w:sz w:val="24"/>
          <w:szCs w:val="24"/>
        </w:rPr>
        <w:t>:</w:t>
      </w:r>
    </w:p>
    <w:p w:rsidR="002C2F87" w:rsidRPr="00510BD2" w:rsidRDefault="002C2F87" w:rsidP="002C2F87">
      <w:pPr>
        <w:pStyle w:val="Default"/>
        <w:numPr>
          <w:ilvl w:val="0"/>
          <w:numId w:val="4"/>
        </w:numPr>
        <w:jc w:val="both"/>
        <w:rPr>
          <w:lang w:val="fr-FR"/>
        </w:rPr>
      </w:pPr>
      <w:r w:rsidRPr="00510BD2">
        <w:rPr>
          <w:b/>
          <w:bCs/>
          <w:lang w:val="fr-FR"/>
        </w:rPr>
        <w:t xml:space="preserve">La plupart des </w:t>
      </w:r>
      <w:proofErr w:type="spellStart"/>
      <w:r w:rsidRPr="00510BD2">
        <w:rPr>
          <w:b/>
          <w:bCs/>
          <w:lang w:val="fr-FR"/>
        </w:rPr>
        <w:t>Batwa</w:t>
      </w:r>
      <w:proofErr w:type="spellEnd"/>
      <w:r w:rsidRPr="00510BD2">
        <w:rPr>
          <w:b/>
          <w:bCs/>
          <w:lang w:val="fr-FR"/>
        </w:rPr>
        <w:t xml:space="preserve"> ont peu d’accès à la nourriture. </w:t>
      </w:r>
      <w:r w:rsidRPr="00510BD2">
        <w:rPr>
          <w:lang w:val="fr-FR"/>
        </w:rPr>
        <w:t xml:space="preserve">Une étude sur plus de 1000 ménages </w:t>
      </w:r>
      <w:proofErr w:type="spellStart"/>
      <w:r w:rsidRPr="00510BD2">
        <w:rPr>
          <w:lang w:val="fr-FR"/>
        </w:rPr>
        <w:t>Batwa</w:t>
      </w:r>
      <w:proofErr w:type="spellEnd"/>
      <w:r w:rsidRPr="00510BD2">
        <w:rPr>
          <w:lang w:val="fr-FR"/>
        </w:rPr>
        <w:t xml:space="preserve"> en 2015 a révélé que 80% de ces ménages ne prenaient qu'un seul repas par jour.</w:t>
      </w:r>
      <w:r w:rsidRPr="00510BD2">
        <w:rPr>
          <w:rStyle w:val="Appelnotedebasdep"/>
        </w:rPr>
        <w:footnoteReference w:id="3"/>
      </w:r>
    </w:p>
    <w:p w:rsidR="002C2F87" w:rsidRPr="00510BD2" w:rsidRDefault="002C2F87" w:rsidP="002C2F87">
      <w:pPr>
        <w:pStyle w:val="Default"/>
        <w:numPr>
          <w:ilvl w:val="0"/>
          <w:numId w:val="4"/>
        </w:numPr>
        <w:jc w:val="both"/>
        <w:rPr>
          <w:lang w:val="fr-FR"/>
        </w:rPr>
      </w:pPr>
      <w:r w:rsidRPr="00510BD2">
        <w:rPr>
          <w:b/>
          <w:bCs/>
          <w:lang w:val="fr-FR"/>
        </w:rPr>
        <w:t xml:space="preserve">La plupart des </w:t>
      </w:r>
      <w:proofErr w:type="spellStart"/>
      <w:r w:rsidRPr="00510BD2">
        <w:rPr>
          <w:b/>
          <w:bCs/>
          <w:lang w:val="fr-FR"/>
        </w:rPr>
        <w:t>Batwa</w:t>
      </w:r>
      <w:proofErr w:type="spellEnd"/>
      <w:r w:rsidRPr="00510BD2">
        <w:rPr>
          <w:b/>
          <w:bCs/>
          <w:lang w:val="fr-FR"/>
        </w:rPr>
        <w:t xml:space="preserve"> vivent au jour le jour</w:t>
      </w:r>
      <w:r w:rsidRPr="00510BD2">
        <w:rPr>
          <w:rStyle w:val="Appelnotedebasdep"/>
          <w:b/>
          <w:bCs/>
        </w:rPr>
        <w:footnoteReference w:id="4"/>
      </w:r>
      <w:r w:rsidRPr="00510BD2">
        <w:rPr>
          <w:b/>
          <w:bCs/>
          <w:lang w:val="fr-FR"/>
        </w:rPr>
        <w:t xml:space="preserve"> et n'ont absolument aucune ressource sur laquelle s'appuyer en cas de fermeture du pays ou de confinement. </w:t>
      </w:r>
      <w:r w:rsidRPr="00510BD2">
        <w:rPr>
          <w:lang w:val="fr-FR"/>
        </w:rPr>
        <w:t xml:space="preserve">Les enfants </w:t>
      </w:r>
      <w:proofErr w:type="spellStart"/>
      <w:r w:rsidRPr="00510BD2">
        <w:rPr>
          <w:lang w:val="fr-FR"/>
        </w:rPr>
        <w:t>Batwa</w:t>
      </w:r>
      <w:proofErr w:type="spellEnd"/>
      <w:r w:rsidRPr="00510BD2">
        <w:rPr>
          <w:lang w:val="fr-FR"/>
        </w:rPr>
        <w:t xml:space="preserve"> sont particulièrement touchés par les effets de la pauvreté.</w:t>
      </w:r>
      <w:r w:rsidRPr="00510BD2">
        <w:rPr>
          <w:rStyle w:val="Appelnotedebasdep"/>
        </w:rPr>
        <w:footnoteReference w:id="5"/>
      </w:r>
    </w:p>
    <w:p w:rsidR="002C2F87" w:rsidRPr="00510BD2" w:rsidRDefault="002C2F87" w:rsidP="002C2F87">
      <w:pPr>
        <w:pStyle w:val="Default"/>
        <w:numPr>
          <w:ilvl w:val="0"/>
          <w:numId w:val="4"/>
        </w:numPr>
        <w:jc w:val="both"/>
        <w:rPr>
          <w:lang w:val="fr-FR"/>
        </w:rPr>
      </w:pPr>
      <w:r w:rsidRPr="00510BD2">
        <w:rPr>
          <w:b/>
          <w:bCs/>
          <w:lang w:val="fr-FR"/>
        </w:rPr>
        <w:t xml:space="preserve">La plupart des </w:t>
      </w:r>
      <w:proofErr w:type="spellStart"/>
      <w:r w:rsidRPr="00510BD2">
        <w:rPr>
          <w:b/>
          <w:bCs/>
          <w:lang w:val="fr-FR"/>
        </w:rPr>
        <w:t>Batwa</w:t>
      </w:r>
      <w:proofErr w:type="spellEnd"/>
      <w:r w:rsidRPr="00510BD2">
        <w:rPr>
          <w:b/>
          <w:bCs/>
          <w:lang w:val="fr-FR"/>
        </w:rPr>
        <w:t xml:space="preserve"> n'ont pas accès aux soins de santé. </w:t>
      </w:r>
      <w:r w:rsidRPr="00510BD2">
        <w:rPr>
          <w:lang w:val="fr-FR"/>
        </w:rPr>
        <w:t>La plupart n’ont pas les moyens de payer l’assistance médicale. Si en principe certains bénéficieraient de la gratuité des soins, en réalité les obstacles administratifs ont fréquemment entravé leur accès (par exemple: manque de papiers d’identité, manque d’accès à la carte d’indigence).</w:t>
      </w:r>
      <w:r w:rsidRPr="00510BD2">
        <w:rPr>
          <w:rStyle w:val="Appelnotedebasdep"/>
        </w:rPr>
        <w:footnoteReference w:id="6"/>
      </w:r>
    </w:p>
    <w:p w:rsidR="002C2F87" w:rsidRPr="002C2F87" w:rsidRDefault="002C2F87" w:rsidP="002C2F87">
      <w:pPr>
        <w:pStyle w:val="Default"/>
        <w:numPr>
          <w:ilvl w:val="0"/>
          <w:numId w:val="4"/>
        </w:numPr>
        <w:jc w:val="both"/>
        <w:rPr>
          <w:lang w:val="fr-FR"/>
        </w:rPr>
      </w:pPr>
      <w:r w:rsidRPr="00510BD2">
        <w:rPr>
          <w:b/>
          <w:bCs/>
          <w:lang w:val="fr-FR"/>
        </w:rPr>
        <w:t xml:space="preserve">La plupart des </w:t>
      </w:r>
      <w:proofErr w:type="spellStart"/>
      <w:r w:rsidRPr="00510BD2">
        <w:rPr>
          <w:b/>
          <w:bCs/>
          <w:lang w:val="fr-FR"/>
        </w:rPr>
        <w:t>Batwa</w:t>
      </w:r>
      <w:proofErr w:type="spellEnd"/>
      <w:r w:rsidRPr="00510BD2">
        <w:rPr>
          <w:b/>
          <w:bCs/>
          <w:lang w:val="fr-FR"/>
        </w:rPr>
        <w:t xml:space="preserve"> vivent dans des maisons surpeuplées et beaucoup n'ont pas accès à l'eau potable et à l'assainissement.</w:t>
      </w:r>
      <w:r w:rsidRPr="00510BD2">
        <w:rPr>
          <w:rStyle w:val="Appelnotedebasdep"/>
          <w:b/>
          <w:bCs/>
        </w:rPr>
        <w:footnoteReference w:id="7"/>
      </w:r>
    </w:p>
    <w:p w:rsidR="002C2F87" w:rsidRDefault="002C2F87" w:rsidP="002C2F87">
      <w:pPr>
        <w:pStyle w:val="Default"/>
        <w:jc w:val="both"/>
        <w:rPr>
          <w:b/>
          <w:bCs/>
          <w:lang w:val="fr-FR"/>
        </w:rPr>
      </w:pPr>
    </w:p>
    <w:p w:rsidR="002C2F87" w:rsidRDefault="002C2F87" w:rsidP="002C2F87">
      <w:pPr>
        <w:pStyle w:val="Default"/>
        <w:jc w:val="both"/>
        <w:rPr>
          <w:b/>
          <w:bCs/>
          <w:lang w:val="fr-FR"/>
        </w:rPr>
      </w:pPr>
    </w:p>
    <w:p w:rsidR="002C2F87" w:rsidRDefault="002C2F87" w:rsidP="002C2F87">
      <w:pPr>
        <w:pStyle w:val="Default"/>
        <w:jc w:val="both"/>
        <w:rPr>
          <w:b/>
          <w:bCs/>
          <w:lang w:val="fr-FR"/>
        </w:rPr>
      </w:pPr>
    </w:p>
    <w:p w:rsidR="002C2F87" w:rsidRPr="00510BD2" w:rsidRDefault="002C2F87" w:rsidP="002C2F87">
      <w:pPr>
        <w:pStyle w:val="Default"/>
        <w:jc w:val="both"/>
        <w:rPr>
          <w:lang w:val="fr-FR"/>
        </w:rPr>
      </w:pPr>
    </w:p>
    <w:p w:rsidR="002C2F87" w:rsidRPr="00510BD2" w:rsidRDefault="002C2F87" w:rsidP="002C2F87">
      <w:pPr>
        <w:pStyle w:val="Default"/>
        <w:numPr>
          <w:ilvl w:val="0"/>
          <w:numId w:val="4"/>
        </w:numPr>
        <w:jc w:val="both"/>
        <w:rPr>
          <w:lang w:val="fr-FR"/>
        </w:rPr>
      </w:pPr>
      <w:r w:rsidRPr="00510BD2">
        <w:rPr>
          <w:b/>
          <w:bCs/>
          <w:lang w:val="fr-FR"/>
        </w:rPr>
        <w:t xml:space="preserve">Les </w:t>
      </w:r>
      <w:proofErr w:type="spellStart"/>
      <w:r w:rsidRPr="00510BD2">
        <w:rPr>
          <w:b/>
          <w:bCs/>
          <w:lang w:val="fr-FR"/>
        </w:rPr>
        <w:t>Batwa</w:t>
      </w:r>
      <w:proofErr w:type="spellEnd"/>
      <w:r w:rsidRPr="00510BD2">
        <w:rPr>
          <w:b/>
          <w:bCs/>
          <w:lang w:val="fr-FR"/>
        </w:rPr>
        <w:t xml:space="preserve"> ont très peu d’accès aux informations concernant le COVID-19. </w:t>
      </w:r>
      <w:r w:rsidRPr="00510BD2">
        <w:rPr>
          <w:lang w:val="fr-FR"/>
        </w:rPr>
        <w:t xml:space="preserve">Selon les estimations, les taux d’analphabétisme parmi les </w:t>
      </w:r>
      <w:proofErr w:type="spellStart"/>
      <w:r w:rsidRPr="00510BD2">
        <w:rPr>
          <w:lang w:val="fr-FR"/>
        </w:rPr>
        <w:t>Batwa</w:t>
      </w:r>
      <w:proofErr w:type="spellEnd"/>
      <w:r w:rsidRPr="00510BD2">
        <w:rPr>
          <w:lang w:val="fr-FR"/>
        </w:rPr>
        <w:t xml:space="preserve"> s’élèvent jusqu’aux 90 pour cent</w:t>
      </w:r>
      <w:r w:rsidRPr="00510BD2">
        <w:rPr>
          <w:b/>
          <w:bCs/>
          <w:lang w:val="fr-FR"/>
        </w:rPr>
        <w:t xml:space="preserve">, </w:t>
      </w:r>
      <w:r w:rsidRPr="00510BD2">
        <w:rPr>
          <w:lang w:val="fr-FR"/>
        </w:rPr>
        <w:t xml:space="preserve">et – par cause de la pauvreté – très peu de </w:t>
      </w:r>
      <w:proofErr w:type="spellStart"/>
      <w:r w:rsidRPr="00510BD2">
        <w:rPr>
          <w:lang w:val="fr-FR"/>
        </w:rPr>
        <w:t>Batwa</w:t>
      </w:r>
      <w:proofErr w:type="spellEnd"/>
      <w:r w:rsidRPr="00510BD2">
        <w:rPr>
          <w:lang w:val="fr-FR"/>
        </w:rPr>
        <w:t xml:space="preserve"> ont accès à une radio.</w:t>
      </w:r>
    </w:p>
    <w:p w:rsidR="002C2F87" w:rsidRPr="00510BD2" w:rsidRDefault="002C2F87" w:rsidP="002C2F87">
      <w:pPr>
        <w:pStyle w:val="Default"/>
        <w:numPr>
          <w:ilvl w:val="0"/>
          <w:numId w:val="4"/>
        </w:numPr>
        <w:jc w:val="both"/>
        <w:rPr>
          <w:lang w:val="fr-FR"/>
        </w:rPr>
      </w:pPr>
      <w:r w:rsidRPr="00510BD2">
        <w:rPr>
          <w:b/>
          <w:bCs/>
          <w:lang w:val="fr-FR"/>
        </w:rPr>
        <w:t xml:space="preserve">Les femmes </w:t>
      </w:r>
      <w:proofErr w:type="spellStart"/>
      <w:r w:rsidRPr="00510BD2">
        <w:rPr>
          <w:b/>
          <w:bCs/>
          <w:lang w:val="fr-FR"/>
        </w:rPr>
        <w:t>Batwa</w:t>
      </w:r>
      <w:proofErr w:type="spellEnd"/>
      <w:r w:rsidRPr="00510BD2">
        <w:rPr>
          <w:b/>
          <w:bCs/>
          <w:lang w:val="fr-FR"/>
        </w:rPr>
        <w:t xml:space="preserve"> sont exposées à des risques élevés de violence </w:t>
      </w:r>
      <w:proofErr w:type="spellStart"/>
      <w:r w:rsidRPr="00510BD2">
        <w:rPr>
          <w:b/>
          <w:bCs/>
          <w:lang w:val="fr-FR"/>
        </w:rPr>
        <w:t>sexospécifique</w:t>
      </w:r>
      <w:proofErr w:type="spellEnd"/>
      <w:r w:rsidRPr="00510BD2">
        <w:rPr>
          <w:b/>
          <w:bCs/>
          <w:lang w:val="fr-FR"/>
        </w:rPr>
        <w:t xml:space="preserve"> </w:t>
      </w:r>
      <w:r w:rsidRPr="00510BD2">
        <w:rPr>
          <w:lang w:val="fr-FR"/>
        </w:rPr>
        <w:t xml:space="preserve">(liée par exemple (i) à l’érosion des relations hommes-femmes </w:t>
      </w:r>
      <w:r w:rsidRPr="00510BD2">
        <w:rPr>
          <w:lang w:val="fr-FR"/>
        </w:rPr>
        <w:t>traditionnelles</w:t>
      </w:r>
      <w:r w:rsidRPr="00510BD2">
        <w:rPr>
          <w:lang w:val="fr-FR"/>
        </w:rPr>
        <w:t xml:space="preserve"> suite à la </w:t>
      </w:r>
      <w:r w:rsidRPr="00510BD2">
        <w:rPr>
          <w:lang w:val="fr-FR"/>
        </w:rPr>
        <w:t>dépossession</w:t>
      </w:r>
      <w:r w:rsidRPr="00510BD2">
        <w:rPr>
          <w:lang w:val="fr-FR"/>
        </w:rPr>
        <w:t xml:space="preserve"> des terres traditionnelles, et (ii) au fait que les femmes </w:t>
      </w:r>
      <w:proofErr w:type="spellStart"/>
      <w:r w:rsidRPr="00510BD2">
        <w:rPr>
          <w:lang w:val="fr-FR"/>
        </w:rPr>
        <w:t>Batwas</w:t>
      </w:r>
      <w:proofErr w:type="spellEnd"/>
      <w:r w:rsidRPr="00510BD2">
        <w:rPr>
          <w:lang w:val="fr-FR"/>
        </w:rPr>
        <w:t xml:space="preserve"> manquent de renseignements sur leurs droits).</w:t>
      </w:r>
      <w:r w:rsidRPr="00510BD2">
        <w:rPr>
          <w:rStyle w:val="Appelnotedebasdep"/>
        </w:rPr>
        <w:footnoteReference w:id="8"/>
      </w:r>
      <w:r w:rsidRPr="00510BD2">
        <w:rPr>
          <w:lang w:val="fr-FR"/>
        </w:rPr>
        <w:t xml:space="preserve"> </w:t>
      </w:r>
      <w:r w:rsidRPr="00510BD2">
        <w:rPr>
          <w:b/>
          <w:bCs/>
          <w:lang w:val="fr-FR"/>
        </w:rPr>
        <w:t>Ces risques sont susceptibles d’augmenter en cas de confinement face à la pandémie.</w:t>
      </w:r>
    </w:p>
    <w:p w:rsidR="002C2F87" w:rsidRPr="00510BD2" w:rsidRDefault="002C2F87" w:rsidP="002C2F87">
      <w:pPr>
        <w:pStyle w:val="Default"/>
        <w:numPr>
          <w:ilvl w:val="0"/>
          <w:numId w:val="4"/>
        </w:numPr>
        <w:jc w:val="both"/>
        <w:rPr>
          <w:lang w:val="fr-FR"/>
        </w:rPr>
      </w:pPr>
      <w:r w:rsidRPr="00510BD2">
        <w:rPr>
          <w:b/>
          <w:bCs/>
          <w:lang w:val="fr-FR"/>
        </w:rPr>
        <w:t xml:space="preserve">Les </w:t>
      </w:r>
      <w:proofErr w:type="spellStart"/>
      <w:r w:rsidRPr="00510BD2">
        <w:rPr>
          <w:b/>
          <w:bCs/>
          <w:lang w:val="fr-FR"/>
        </w:rPr>
        <w:t>Batwa</w:t>
      </w:r>
      <w:proofErr w:type="spellEnd"/>
      <w:r w:rsidRPr="00510BD2">
        <w:rPr>
          <w:b/>
          <w:bCs/>
          <w:lang w:val="fr-FR"/>
        </w:rPr>
        <w:t xml:space="preserve"> plus âgés font face à des risques </w:t>
      </w:r>
      <w:r w:rsidRPr="00510BD2">
        <w:rPr>
          <w:b/>
          <w:bCs/>
          <w:lang w:val="fr-FR"/>
        </w:rPr>
        <w:t>extr</w:t>
      </w:r>
      <w:r w:rsidRPr="00510BD2">
        <w:rPr>
          <w:lang w:val="fr-FR"/>
        </w:rPr>
        <w:t>ê</w:t>
      </w:r>
      <w:r w:rsidRPr="00510BD2">
        <w:rPr>
          <w:b/>
          <w:bCs/>
          <w:lang w:val="fr-FR"/>
        </w:rPr>
        <w:t>mes</w:t>
      </w:r>
      <w:r w:rsidRPr="00510BD2">
        <w:rPr>
          <w:b/>
          <w:bCs/>
          <w:lang w:val="fr-FR"/>
        </w:rPr>
        <w:t xml:space="preserve">. </w:t>
      </w:r>
      <w:r w:rsidRPr="00510BD2">
        <w:rPr>
          <w:lang w:val="fr-FR"/>
        </w:rPr>
        <w:t xml:space="preserve">Il n’y a pas de données désagrégées sur les </w:t>
      </w:r>
      <w:proofErr w:type="spellStart"/>
      <w:r w:rsidRPr="00510BD2">
        <w:rPr>
          <w:lang w:val="fr-FR"/>
        </w:rPr>
        <w:t>Batwa</w:t>
      </w:r>
      <w:proofErr w:type="spellEnd"/>
      <w:r w:rsidRPr="00510BD2">
        <w:rPr>
          <w:lang w:val="fr-FR"/>
        </w:rPr>
        <w:t xml:space="preserve"> plus âgés, mais nos observations confirment que ces personnes vivent une précarité </w:t>
      </w:r>
      <w:r w:rsidRPr="00510BD2">
        <w:rPr>
          <w:lang w:val="fr-FR"/>
        </w:rPr>
        <w:t>extrême</w:t>
      </w:r>
      <w:r w:rsidRPr="00510BD2">
        <w:rPr>
          <w:lang w:val="fr-FR"/>
        </w:rPr>
        <w:t xml:space="preserve">. Étant donné que les personnes âgées subissent fréquemment les </w:t>
      </w:r>
      <w:hyperlink r:id="rId8" w:history="1">
        <w:r w:rsidRPr="00510BD2">
          <w:rPr>
            <w:lang w:val="fr-FR"/>
          </w:rPr>
          <w:t>symptôme</w:t>
        </w:r>
      </w:hyperlink>
      <w:r w:rsidRPr="00510BD2">
        <w:rPr>
          <w:lang w:val="fr-FR"/>
        </w:rPr>
        <w:t xml:space="preserve">s plus sévères de la maladie COVID-19, nous craignons que la propagation de la maladie porte des </w:t>
      </w:r>
      <w:r w:rsidRPr="00510BD2">
        <w:rPr>
          <w:lang w:val="fr-FR"/>
        </w:rPr>
        <w:t>conséquences</w:t>
      </w:r>
      <w:r w:rsidRPr="00510BD2">
        <w:rPr>
          <w:lang w:val="fr-FR"/>
        </w:rPr>
        <w:t xml:space="preserve"> accablantes pour nos aînés. </w:t>
      </w:r>
    </w:p>
    <w:p w:rsidR="002C2F87" w:rsidRPr="00510BD2" w:rsidRDefault="002C2F87" w:rsidP="002C2F87">
      <w:pPr>
        <w:pStyle w:val="Default"/>
        <w:jc w:val="both"/>
        <w:rPr>
          <w:lang w:val="fr-FR"/>
        </w:rPr>
      </w:pPr>
    </w:p>
    <w:p w:rsidR="002C2F87" w:rsidRPr="00510BD2" w:rsidRDefault="002C2F87" w:rsidP="002C2F87">
      <w:pPr>
        <w:pStyle w:val="Default"/>
        <w:jc w:val="both"/>
        <w:rPr>
          <w:lang w:val="fr-FR"/>
        </w:rPr>
      </w:pPr>
      <w:r w:rsidRPr="00510BD2">
        <w:rPr>
          <w:lang w:val="fr-FR"/>
        </w:rPr>
        <w:t xml:space="preserve">Nous aimerions également noter qu'en raison des nombreux obstacles auxquels les </w:t>
      </w:r>
      <w:proofErr w:type="spellStart"/>
      <w:r w:rsidRPr="00510BD2">
        <w:rPr>
          <w:lang w:val="fr-FR"/>
        </w:rPr>
        <w:t>Batwa</w:t>
      </w:r>
      <w:proofErr w:type="spellEnd"/>
      <w:r w:rsidRPr="00510BD2">
        <w:rPr>
          <w:lang w:val="fr-FR"/>
        </w:rPr>
        <w:t xml:space="preserve"> sont confrontés, ils courent un risque élevé d'être exclus des interventions internationales à moins que des mesures délibérées ne soient prises.</w:t>
      </w:r>
      <w:r w:rsidRPr="00510BD2">
        <w:rPr>
          <w:rStyle w:val="Appelnotedebasdep"/>
        </w:rPr>
        <w:footnoteReference w:id="9"/>
      </w:r>
    </w:p>
    <w:p w:rsidR="002C2F87" w:rsidRPr="00510BD2" w:rsidRDefault="002C2F87" w:rsidP="002C2F87">
      <w:pPr>
        <w:pStyle w:val="Default"/>
        <w:jc w:val="both"/>
        <w:rPr>
          <w:lang w:val="fr-FR"/>
        </w:rPr>
      </w:pPr>
    </w:p>
    <w:p w:rsidR="002C2F87" w:rsidRPr="00510BD2" w:rsidRDefault="002C2F87" w:rsidP="002C2F87">
      <w:pPr>
        <w:pStyle w:val="Default"/>
        <w:jc w:val="both"/>
        <w:rPr>
          <w:lang w:val="fr-FR"/>
        </w:rPr>
      </w:pPr>
      <w:r w:rsidRPr="00510BD2">
        <w:rPr>
          <w:b/>
          <w:bCs/>
          <w:lang w:val="fr-FR"/>
        </w:rPr>
        <w:t xml:space="preserve">Nous prions aux partenaires de développement de bien vouloir veiller à ce qu’une réponse à la propagation du COVID-19 au Burundi prenne en compte les risques urgents pour les </w:t>
      </w:r>
      <w:proofErr w:type="spellStart"/>
      <w:r w:rsidRPr="00510BD2">
        <w:rPr>
          <w:b/>
          <w:bCs/>
          <w:lang w:val="fr-FR"/>
        </w:rPr>
        <w:t>Batwa</w:t>
      </w:r>
      <w:proofErr w:type="spellEnd"/>
      <w:r w:rsidRPr="00510BD2">
        <w:rPr>
          <w:b/>
          <w:bCs/>
          <w:lang w:val="fr-FR"/>
        </w:rPr>
        <w:t xml:space="preserve">. </w:t>
      </w:r>
      <w:r w:rsidRPr="00510BD2">
        <w:rPr>
          <w:lang w:val="fr-FR"/>
        </w:rPr>
        <w:t xml:space="preserve">Plus spécifiquement, nous exhortons les partenaires de développement de bien vouloir effectuer la démarche suivante, alignée aux </w:t>
      </w:r>
      <w:r w:rsidRPr="00510BD2">
        <w:rPr>
          <w:lang w:val="fr-FR"/>
        </w:rPr>
        <w:t>recommandations</w:t>
      </w:r>
      <w:r w:rsidRPr="00510BD2">
        <w:rPr>
          <w:lang w:val="fr-FR"/>
        </w:rPr>
        <w:t xml:space="preserve"> de l’Organisation des Nations Unies pour l’alimentation et l’agriculture, et du Département des Affaires Économiques et Sociales de l’ONU:</w:t>
      </w:r>
      <w:r w:rsidRPr="00510BD2">
        <w:rPr>
          <w:rStyle w:val="Appelnotedebasdep"/>
        </w:rPr>
        <w:footnoteReference w:id="10"/>
      </w:r>
    </w:p>
    <w:p w:rsidR="002C2F87" w:rsidRPr="00510BD2" w:rsidRDefault="002C2F87" w:rsidP="002C2F87">
      <w:pPr>
        <w:pStyle w:val="Default"/>
        <w:jc w:val="both"/>
        <w:rPr>
          <w:lang w:val="fr-FR"/>
        </w:rPr>
      </w:pPr>
    </w:p>
    <w:p w:rsidR="002C2F87" w:rsidRPr="00510BD2" w:rsidRDefault="002C2F87" w:rsidP="002C2F87">
      <w:pPr>
        <w:pStyle w:val="Default"/>
        <w:numPr>
          <w:ilvl w:val="0"/>
          <w:numId w:val="5"/>
        </w:numPr>
        <w:jc w:val="both"/>
        <w:rPr>
          <w:lang w:val="fr-FR"/>
        </w:rPr>
      </w:pPr>
      <w:r w:rsidRPr="00510BD2">
        <w:rPr>
          <w:b/>
          <w:bCs/>
          <w:lang w:val="fr-FR"/>
        </w:rPr>
        <w:t xml:space="preserve">Prendre la situation des </w:t>
      </w:r>
      <w:proofErr w:type="spellStart"/>
      <w:r w:rsidRPr="00510BD2">
        <w:rPr>
          <w:b/>
          <w:bCs/>
          <w:lang w:val="fr-FR"/>
        </w:rPr>
        <w:t>Batwa</w:t>
      </w:r>
      <w:proofErr w:type="spellEnd"/>
      <w:r w:rsidRPr="00510BD2">
        <w:rPr>
          <w:b/>
          <w:bCs/>
          <w:lang w:val="fr-FR"/>
        </w:rPr>
        <w:t xml:space="preserve"> en compte de manière explicite</w:t>
      </w:r>
      <w:r w:rsidRPr="00510BD2">
        <w:rPr>
          <w:lang w:val="fr-FR"/>
        </w:rPr>
        <w:t xml:space="preserve"> dans le cadre de leur riposte à la pandémie de COVID-19. La situation des femmes </w:t>
      </w:r>
      <w:proofErr w:type="spellStart"/>
      <w:r w:rsidRPr="00510BD2">
        <w:rPr>
          <w:lang w:val="fr-FR"/>
        </w:rPr>
        <w:t>Batwa</w:t>
      </w:r>
      <w:proofErr w:type="spellEnd"/>
      <w:r w:rsidRPr="00510BD2">
        <w:rPr>
          <w:lang w:val="fr-FR"/>
        </w:rPr>
        <w:t xml:space="preserve">, ainsi que celle des autres groupes qui subissent une marginalisation </w:t>
      </w:r>
      <w:r w:rsidRPr="00510BD2">
        <w:rPr>
          <w:lang w:val="fr-FR"/>
        </w:rPr>
        <w:t>exagérée</w:t>
      </w:r>
      <w:r w:rsidRPr="00510BD2">
        <w:rPr>
          <w:lang w:val="fr-FR"/>
        </w:rPr>
        <w:t xml:space="preserve"> (tels que les </w:t>
      </w:r>
      <w:proofErr w:type="spellStart"/>
      <w:r w:rsidRPr="00510BD2">
        <w:rPr>
          <w:lang w:val="fr-FR"/>
        </w:rPr>
        <w:t>Batwa</w:t>
      </w:r>
      <w:proofErr w:type="spellEnd"/>
      <w:r w:rsidRPr="00510BD2">
        <w:rPr>
          <w:lang w:val="fr-FR"/>
        </w:rPr>
        <w:t xml:space="preserve"> âgés, les </w:t>
      </w:r>
      <w:proofErr w:type="spellStart"/>
      <w:r w:rsidRPr="00510BD2">
        <w:rPr>
          <w:lang w:val="fr-FR"/>
        </w:rPr>
        <w:t>Batwa</w:t>
      </w:r>
      <w:proofErr w:type="spellEnd"/>
      <w:r w:rsidRPr="00510BD2">
        <w:rPr>
          <w:lang w:val="fr-FR"/>
        </w:rPr>
        <w:t xml:space="preserve"> </w:t>
      </w:r>
      <w:r w:rsidRPr="00510BD2">
        <w:rPr>
          <w:lang w:val="fr-FR"/>
        </w:rPr>
        <w:t>handicapés</w:t>
      </w:r>
      <w:r w:rsidRPr="00510BD2">
        <w:rPr>
          <w:lang w:val="fr-FR"/>
        </w:rPr>
        <w:t>), devrait être mise au premier plan.</w:t>
      </w:r>
    </w:p>
    <w:p w:rsidR="002C2F87" w:rsidRPr="00510BD2" w:rsidRDefault="002C2F87" w:rsidP="002C2F87">
      <w:pPr>
        <w:pStyle w:val="Default"/>
        <w:numPr>
          <w:ilvl w:val="0"/>
          <w:numId w:val="5"/>
        </w:numPr>
        <w:jc w:val="both"/>
        <w:rPr>
          <w:lang w:val="fr-FR"/>
        </w:rPr>
      </w:pPr>
      <w:r w:rsidRPr="00510BD2">
        <w:rPr>
          <w:b/>
          <w:bCs/>
          <w:lang w:val="fr-FR"/>
        </w:rPr>
        <w:t xml:space="preserve">Intégrer les organisations des </w:t>
      </w:r>
      <w:proofErr w:type="spellStart"/>
      <w:r w:rsidRPr="00510BD2">
        <w:rPr>
          <w:b/>
          <w:bCs/>
          <w:lang w:val="fr-FR"/>
        </w:rPr>
        <w:t>Batwa</w:t>
      </w:r>
      <w:proofErr w:type="spellEnd"/>
      <w:r w:rsidRPr="00510BD2">
        <w:rPr>
          <w:b/>
          <w:bCs/>
          <w:lang w:val="fr-FR"/>
        </w:rPr>
        <w:t xml:space="preserve"> </w:t>
      </w:r>
      <w:r w:rsidRPr="00510BD2">
        <w:rPr>
          <w:lang w:val="fr-FR"/>
        </w:rPr>
        <w:t xml:space="preserve">lors </w:t>
      </w:r>
      <w:r w:rsidRPr="00510BD2">
        <w:rPr>
          <w:lang w:val="fr-FR"/>
        </w:rPr>
        <w:t>de la</w:t>
      </w:r>
      <w:r w:rsidRPr="00510BD2">
        <w:rPr>
          <w:lang w:val="fr-FR"/>
        </w:rPr>
        <w:t xml:space="preserve"> planification, de l’implémentation et du suivi des projets, pour assurer que les </w:t>
      </w:r>
      <w:proofErr w:type="spellStart"/>
      <w:r w:rsidRPr="00510BD2">
        <w:rPr>
          <w:lang w:val="fr-FR"/>
        </w:rPr>
        <w:t>Batwa</w:t>
      </w:r>
      <w:proofErr w:type="spellEnd"/>
      <w:r w:rsidRPr="00510BD2">
        <w:rPr>
          <w:lang w:val="fr-FR"/>
        </w:rPr>
        <w:t xml:space="preserve"> aient accès aux interventions. Il faut aussi plaider pour que les représentants </w:t>
      </w:r>
      <w:proofErr w:type="spellStart"/>
      <w:r w:rsidRPr="00510BD2">
        <w:rPr>
          <w:lang w:val="fr-FR"/>
        </w:rPr>
        <w:t>Batwa</w:t>
      </w:r>
      <w:proofErr w:type="spellEnd"/>
      <w:r w:rsidRPr="00510BD2">
        <w:rPr>
          <w:lang w:val="fr-FR"/>
        </w:rPr>
        <w:t xml:space="preserve"> soient inclus partout dans les mécanismes </w:t>
      </w:r>
      <w:r w:rsidRPr="00510BD2">
        <w:rPr>
          <w:lang w:val="fr-FR"/>
        </w:rPr>
        <w:t>gouvernementaux</w:t>
      </w:r>
      <w:r w:rsidRPr="00510BD2">
        <w:rPr>
          <w:lang w:val="fr-FR"/>
        </w:rPr>
        <w:t xml:space="preserve"> pour riposter contre la maladie.</w:t>
      </w:r>
    </w:p>
    <w:p w:rsidR="002C2F87" w:rsidRPr="00510BD2" w:rsidRDefault="002C2F87" w:rsidP="002C2F87">
      <w:pPr>
        <w:pStyle w:val="Default"/>
        <w:numPr>
          <w:ilvl w:val="0"/>
          <w:numId w:val="5"/>
        </w:numPr>
        <w:jc w:val="both"/>
        <w:rPr>
          <w:lang w:val="fr-FR"/>
        </w:rPr>
      </w:pPr>
      <w:r w:rsidRPr="00510BD2">
        <w:rPr>
          <w:b/>
          <w:bCs/>
          <w:lang w:val="fr-FR"/>
        </w:rPr>
        <w:t xml:space="preserve">Demander aux autres partenaires de développement d’inclure les </w:t>
      </w:r>
      <w:proofErr w:type="spellStart"/>
      <w:r w:rsidRPr="00510BD2">
        <w:rPr>
          <w:b/>
          <w:bCs/>
          <w:lang w:val="fr-FR"/>
        </w:rPr>
        <w:t>Batwa</w:t>
      </w:r>
      <w:proofErr w:type="spellEnd"/>
      <w:r w:rsidRPr="00510BD2">
        <w:rPr>
          <w:b/>
          <w:bCs/>
          <w:lang w:val="fr-FR"/>
        </w:rPr>
        <w:t xml:space="preserve"> </w:t>
      </w:r>
      <w:r w:rsidRPr="00510BD2">
        <w:rPr>
          <w:lang w:val="fr-FR"/>
        </w:rPr>
        <w:t>dans tous aspects de leur riposte au virus.</w:t>
      </w:r>
    </w:p>
    <w:p w:rsidR="002C2F87" w:rsidRPr="00510BD2" w:rsidRDefault="002C2F87" w:rsidP="002C2F87">
      <w:pPr>
        <w:pStyle w:val="Default"/>
        <w:jc w:val="both"/>
        <w:rPr>
          <w:lang w:val="fr-FR"/>
        </w:rPr>
      </w:pPr>
    </w:p>
    <w:p w:rsidR="002C2F87" w:rsidRPr="00510BD2" w:rsidRDefault="002C2F87" w:rsidP="002C2F87">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510BD2">
        <w:rPr>
          <w:rFonts w:ascii="Times New Roman" w:hAnsi="Times New Roman" w:cs="Times New Roman"/>
          <w:b/>
          <w:bCs/>
          <w:color w:val="000000"/>
          <w:sz w:val="24"/>
          <w:szCs w:val="24"/>
          <w:lang w:val="fr-FR"/>
        </w:rPr>
        <w:t xml:space="preserve">Les actions prioritaires et urgentes pour la prévention du COVID-19 parmi la communauté </w:t>
      </w:r>
      <w:proofErr w:type="spellStart"/>
      <w:r w:rsidRPr="00510BD2">
        <w:rPr>
          <w:rFonts w:ascii="Times New Roman" w:hAnsi="Times New Roman" w:cs="Times New Roman"/>
          <w:b/>
          <w:bCs/>
          <w:color w:val="000000"/>
          <w:sz w:val="24"/>
          <w:szCs w:val="24"/>
          <w:lang w:val="fr-FR"/>
        </w:rPr>
        <w:t>Batwa</w:t>
      </w:r>
      <w:proofErr w:type="spellEnd"/>
      <w:r w:rsidRPr="00510BD2">
        <w:rPr>
          <w:rFonts w:ascii="Times New Roman" w:hAnsi="Times New Roman" w:cs="Times New Roman"/>
          <w:b/>
          <w:bCs/>
          <w:color w:val="000000"/>
          <w:sz w:val="24"/>
          <w:szCs w:val="24"/>
          <w:lang w:val="fr-FR"/>
        </w:rPr>
        <w:t xml:space="preserve"> sont: </w:t>
      </w:r>
    </w:p>
    <w:p w:rsidR="002C2F87" w:rsidRPr="00510BD2" w:rsidRDefault="002C2F87" w:rsidP="002C2F87">
      <w:pPr>
        <w:autoSpaceDE w:val="0"/>
        <w:autoSpaceDN w:val="0"/>
        <w:adjustRightInd w:val="0"/>
        <w:spacing w:after="0" w:line="240" w:lineRule="auto"/>
        <w:jc w:val="both"/>
        <w:rPr>
          <w:rFonts w:ascii="Times New Roman" w:hAnsi="Times New Roman" w:cs="Times New Roman"/>
          <w:color w:val="000000"/>
          <w:sz w:val="24"/>
          <w:szCs w:val="24"/>
          <w:lang w:val="fr-FR"/>
        </w:rPr>
      </w:pPr>
    </w:p>
    <w:p w:rsidR="002C2F87" w:rsidRPr="002C2F87" w:rsidRDefault="002C2F87" w:rsidP="002C2F87">
      <w:pPr>
        <w:autoSpaceDE w:val="0"/>
        <w:autoSpaceDN w:val="0"/>
        <w:adjustRightInd w:val="0"/>
        <w:spacing w:after="0" w:line="240" w:lineRule="auto"/>
        <w:jc w:val="both"/>
        <w:rPr>
          <w:rFonts w:ascii="Times New Roman" w:hAnsi="Times New Roman" w:cs="Times New Roman"/>
          <w:sz w:val="24"/>
          <w:szCs w:val="24"/>
          <w:lang w:val="fr-FR"/>
        </w:rPr>
      </w:pPr>
      <w:r w:rsidRPr="00510BD2">
        <w:rPr>
          <w:rFonts w:ascii="Times New Roman" w:hAnsi="Times New Roman" w:cs="Times New Roman"/>
          <w:b/>
          <w:bCs/>
          <w:color w:val="000000"/>
          <w:sz w:val="24"/>
          <w:szCs w:val="24"/>
          <w:lang w:val="fr-FR"/>
        </w:rPr>
        <w:t xml:space="preserve">• Mener une campagne de sensibilisation à l’hygiène parmi les </w:t>
      </w:r>
      <w:proofErr w:type="spellStart"/>
      <w:r w:rsidRPr="00510BD2">
        <w:rPr>
          <w:rFonts w:ascii="Times New Roman" w:hAnsi="Times New Roman" w:cs="Times New Roman"/>
          <w:b/>
          <w:bCs/>
          <w:color w:val="000000"/>
          <w:sz w:val="24"/>
          <w:szCs w:val="24"/>
          <w:lang w:val="fr-FR"/>
        </w:rPr>
        <w:t>Batwa</w:t>
      </w:r>
      <w:proofErr w:type="spellEnd"/>
      <w:r w:rsidRPr="00510BD2">
        <w:rPr>
          <w:rFonts w:ascii="Times New Roman" w:hAnsi="Times New Roman" w:cs="Times New Roman"/>
          <w:color w:val="000000"/>
          <w:sz w:val="24"/>
          <w:szCs w:val="24"/>
          <w:lang w:val="fr-FR"/>
        </w:rPr>
        <w:t xml:space="preserve">, en tenant compte des conditions de vie en groupe de cette communauté. Les organisations des </w:t>
      </w:r>
      <w:proofErr w:type="spellStart"/>
      <w:r w:rsidRPr="00510BD2">
        <w:rPr>
          <w:rFonts w:ascii="Times New Roman" w:hAnsi="Times New Roman" w:cs="Times New Roman"/>
          <w:color w:val="000000"/>
          <w:sz w:val="24"/>
          <w:szCs w:val="24"/>
          <w:lang w:val="fr-FR"/>
        </w:rPr>
        <w:t>Batwa</w:t>
      </w:r>
      <w:proofErr w:type="spellEnd"/>
      <w:r w:rsidRPr="00510BD2">
        <w:rPr>
          <w:rFonts w:ascii="Times New Roman" w:hAnsi="Times New Roman" w:cs="Times New Roman"/>
          <w:color w:val="000000"/>
          <w:sz w:val="24"/>
          <w:szCs w:val="24"/>
          <w:lang w:val="fr-FR"/>
        </w:rPr>
        <w:t>, tels que l</w:t>
      </w:r>
      <w:r w:rsidRPr="002C2F87">
        <w:rPr>
          <w:rFonts w:ascii="Times New Roman" w:hAnsi="Times New Roman" w:cs="Times New Roman"/>
          <w:sz w:val="24"/>
          <w:szCs w:val="24"/>
          <w:lang w:val="fr-FR"/>
        </w:rPr>
        <w:t xml:space="preserve">’Association pour l’Intégration et le Développement Durable au Burundi (AIDB), se tiennent </w:t>
      </w:r>
      <w:r w:rsidRPr="00510BD2">
        <w:rPr>
          <w:rFonts w:ascii="Times New Roman" w:hAnsi="Times New Roman" w:cs="Times New Roman"/>
          <w:color w:val="000000"/>
          <w:sz w:val="24"/>
          <w:szCs w:val="24"/>
          <w:lang w:val="fr-FR"/>
        </w:rPr>
        <w:t xml:space="preserve">à votre disposition pour la mise en </w:t>
      </w:r>
      <w:r w:rsidR="00EB2942" w:rsidRPr="00510BD2">
        <w:rPr>
          <w:rFonts w:ascii="Times New Roman" w:hAnsi="Times New Roman" w:cs="Times New Roman"/>
          <w:color w:val="000000"/>
          <w:sz w:val="24"/>
          <w:szCs w:val="24"/>
          <w:lang w:val="fr-FR"/>
        </w:rPr>
        <w:t>œuvre</w:t>
      </w:r>
      <w:r w:rsidRPr="00510BD2">
        <w:rPr>
          <w:rFonts w:ascii="Times New Roman" w:hAnsi="Times New Roman" w:cs="Times New Roman"/>
          <w:color w:val="000000"/>
          <w:sz w:val="24"/>
          <w:szCs w:val="24"/>
          <w:lang w:val="fr-FR"/>
        </w:rPr>
        <w:t xml:space="preserve"> d’une telle campagne.</w:t>
      </w:r>
    </w:p>
    <w:p w:rsidR="002C2F87" w:rsidRPr="002C2F87" w:rsidRDefault="002C2F87" w:rsidP="002C2F87">
      <w:pPr>
        <w:autoSpaceDE w:val="0"/>
        <w:autoSpaceDN w:val="0"/>
        <w:adjustRightInd w:val="0"/>
        <w:spacing w:after="0" w:line="240" w:lineRule="auto"/>
        <w:jc w:val="both"/>
        <w:rPr>
          <w:rFonts w:ascii="Times New Roman" w:hAnsi="Times New Roman" w:cs="Times New Roman"/>
          <w:sz w:val="24"/>
          <w:szCs w:val="24"/>
          <w:lang w:val="fr-FR"/>
        </w:rPr>
      </w:pPr>
    </w:p>
    <w:p w:rsidR="002C2F87" w:rsidRPr="00510BD2" w:rsidRDefault="002C2F87" w:rsidP="002C2F87">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510BD2">
        <w:rPr>
          <w:rFonts w:ascii="Times New Roman" w:hAnsi="Times New Roman" w:cs="Times New Roman"/>
          <w:b/>
          <w:bCs/>
          <w:color w:val="000000"/>
          <w:sz w:val="24"/>
          <w:szCs w:val="24"/>
          <w:lang w:val="fr-FR"/>
        </w:rPr>
        <w:t>• Prendre des mesures urgentes pour assurer la sécurité alimentaire</w:t>
      </w:r>
      <w:r w:rsidR="0045755A">
        <w:rPr>
          <w:rFonts w:ascii="Times New Roman" w:hAnsi="Times New Roman" w:cs="Times New Roman"/>
          <w:b/>
          <w:bCs/>
          <w:color w:val="000000"/>
          <w:sz w:val="24"/>
          <w:szCs w:val="24"/>
          <w:lang w:val="fr-FR"/>
        </w:rPr>
        <w:t>.</w:t>
      </w:r>
      <w:r w:rsidRPr="00510BD2">
        <w:rPr>
          <w:rFonts w:ascii="Times New Roman" w:hAnsi="Times New Roman" w:cs="Times New Roman"/>
          <w:b/>
          <w:bCs/>
          <w:color w:val="000000"/>
          <w:sz w:val="24"/>
          <w:szCs w:val="24"/>
          <w:lang w:val="fr-FR"/>
        </w:rPr>
        <w:t xml:space="preserve"> </w:t>
      </w:r>
    </w:p>
    <w:p w:rsidR="002C2F87" w:rsidRPr="00510BD2" w:rsidRDefault="002C2F87" w:rsidP="002C2F87">
      <w:pPr>
        <w:autoSpaceDE w:val="0"/>
        <w:autoSpaceDN w:val="0"/>
        <w:adjustRightInd w:val="0"/>
        <w:spacing w:after="0" w:line="240" w:lineRule="auto"/>
        <w:jc w:val="both"/>
        <w:rPr>
          <w:rFonts w:ascii="Times New Roman" w:hAnsi="Times New Roman" w:cs="Times New Roman"/>
          <w:color w:val="000000"/>
          <w:sz w:val="24"/>
          <w:szCs w:val="24"/>
          <w:lang w:val="fr-FR"/>
        </w:rPr>
      </w:pPr>
    </w:p>
    <w:p w:rsidR="002C2F87" w:rsidRPr="00510BD2" w:rsidRDefault="002C2F87" w:rsidP="002C2F87">
      <w:pPr>
        <w:pStyle w:val="Default"/>
        <w:jc w:val="both"/>
        <w:rPr>
          <w:b/>
          <w:bCs/>
          <w:lang w:val="fr-FR"/>
        </w:rPr>
      </w:pPr>
      <w:r w:rsidRPr="00510BD2">
        <w:rPr>
          <w:b/>
          <w:bCs/>
          <w:lang w:val="fr-FR"/>
        </w:rPr>
        <w:t>• Distribuer des produits désinfectants avec d'autres matériaux tels que des savons et des seaux pour l'hygiène.</w:t>
      </w:r>
    </w:p>
    <w:p w:rsidR="002C2F87" w:rsidRPr="00510BD2" w:rsidRDefault="002C2F87" w:rsidP="002C2F87">
      <w:pPr>
        <w:pStyle w:val="Default"/>
        <w:jc w:val="both"/>
        <w:rPr>
          <w:b/>
          <w:bCs/>
          <w:lang w:val="fr-FR"/>
        </w:rPr>
      </w:pPr>
    </w:p>
    <w:p w:rsidR="002C2F87" w:rsidRDefault="002C2F87" w:rsidP="002C2F87">
      <w:pPr>
        <w:pStyle w:val="Default"/>
        <w:numPr>
          <w:ilvl w:val="0"/>
          <w:numId w:val="6"/>
        </w:numPr>
        <w:jc w:val="both"/>
        <w:rPr>
          <w:lang w:val="fr-FR"/>
        </w:rPr>
      </w:pPr>
      <w:r w:rsidRPr="00510BD2">
        <w:rPr>
          <w:b/>
          <w:bCs/>
          <w:lang w:val="fr-FR"/>
        </w:rPr>
        <w:t xml:space="preserve">Assurer que les </w:t>
      </w:r>
      <w:proofErr w:type="spellStart"/>
      <w:r w:rsidRPr="00510BD2">
        <w:rPr>
          <w:b/>
          <w:bCs/>
          <w:lang w:val="fr-FR"/>
        </w:rPr>
        <w:t>Batwa</w:t>
      </w:r>
      <w:proofErr w:type="spellEnd"/>
      <w:r w:rsidRPr="00510BD2">
        <w:rPr>
          <w:b/>
          <w:bCs/>
          <w:lang w:val="fr-FR"/>
        </w:rPr>
        <w:t xml:space="preserve"> soient inclus dans tous les aspects de la riposte sanitaire</w:t>
      </w:r>
      <w:r w:rsidRPr="00510BD2">
        <w:rPr>
          <w:lang w:val="fr-FR"/>
        </w:rPr>
        <w:t>, depuis le dépistage jusqu’aux soins hospitaliers. L’accès aux soins de santé ne devrait en nul cas être conditionnel aux moyens financiers du patient, ni de la possession des papiers d’identité ni de la carte d’indigence.</w:t>
      </w:r>
    </w:p>
    <w:p w:rsidR="002C2F87" w:rsidRDefault="002C2F87" w:rsidP="002C2F87">
      <w:pPr>
        <w:pStyle w:val="Default"/>
        <w:jc w:val="both"/>
        <w:rPr>
          <w:lang w:val="fr-FR"/>
        </w:rPr>
      </w:pPr>
    </w:p>
    <w:p w:rsidR="002C2F87" w:rsidRDefault="002C2F87" w:rsidP="002C2F87">
      <w:pPr>
        <w:pStyle w:val="Default"/>
        <w:jc w:val="both"/>
        <w:rPr>
          <w:lang w:val="fr-FR"/>
        </w:rPr>
      </w:pPr>
    </w:p>
    <w:p w:rsidR="002C2F87" w:rsidRPr="00510BD2" w:rsidRDefault="002C2F87" w:rsidP="002C2F87">
      <w:pPr>
        <w:pStyle w:val="Default"/>
        <w:jc w:val="both"/>
        <w:rPr>
          <w:lang w:val="fr-FR"/>
        </w:rPr>
      </w:pPr>
    </w:p>
    <w:p w:rsidR="002C2F87" w:rsidRPr="00510BD2" w:rsidRDefault="002C2F87" w:rsidP="002C2F87">
      <w:pPr>
        <w:pStyle w:val="Default"/>
        <w:ind w:left="360"/>
        <w:jc w:val="both"/>
        <w:rPr>
          <w:lang w:val="fr-FR"/>
        </w:rPr>
      </w:pPr>
    </w:p>
    <w:p w:rsidR="002C2F87" w:rsidRPr="002C2F87" w:rsidRDefault="002C2F87" w:rsidP="002C2F87">
      <w:pPr>
        <w:jc w:val="both"/>
        <w:rPr>
          <w:rFonts w:ascii="Times New Roman" w:hAnsi="Times New Roman" w:cs="Times New Roman"/>
          <w:b/>
          <w:bCs/>
          <w:sz w:val="24"/>
          <w:szCs w:val="24"/>
          <w:lang w:val="fr-FR"/>
        </w:rPr>
      </w:pPr>
      <w:r w:rsidRPr="002C2F87">
        <w:rPr>
          <w:rFonts w:ascii="Times New Roman" w:hAnsi="Times New Roman" w:cs="Times New Roman"/>
          <w:b/>
          <w:bCs/>
          <w:sz w:val="24"/>
          <w:szCs w:val="24"/>
          <w:lang w:val="fr-FR"/>
        </w:rPr>
        <w:t xml:space="preserve">A propos de </w:t>
      </w:r>
      <w:r w:rsidR="00693427" w:rsidRPr="002C2F87">
        <w:rPr>
          <w:rFonts w:ascii="Times New Roman" w:hAnsi="Times New Roman" w:cs="Times New Roman"/>
          <w:b/>
          <w:bCs/>
          <w:sz w:val="24"/>
          <w:szCs w:val="24"/>
          <w:lang w:val="fr-FR"/>
        </w:rPr>
        <w:t>l’</w:t>
      </w:r>
      <w:r w:rsidR="00693427">
        <w:rPr>
          <w:rFonts w:ascii="Times New Roman" w:hAnsi="Times New Roman" w:cs="Times New Roman"/>
          <w:b/>
          <w:bCs/>
          <w:sz w:val="24"/>
          <w:szCs w:val="24"/>
          <w:lang w:val="fr-FR"/>
        </w:rPr>
        <w:t>Association</w:t>
      </w:r>
      <w:r w:rsidRPr="002C2F87">
        <w:rPr>
          <w:rFonts w:ascii="Times New Roman" w:hAnsi="Times New Roman" w:cs="Times New Roman"/>
          <w:b/>
          <w:bCs/>
          <w:sz w:val="24"/>
          <w:szCs w:val="24"/>
          <w:lang w:val="fr-FR"/>
        </w:rPr>
        <w:t xml:space="preserve"> pour l’Intégration et le D</w:t>
      </w:r>
      <w:r w:rsidR="00693427">
        <w:rPr>
          <w:rFonts w:ascii="Times New Roman" w:hAnsi="Times New Roman" w:cs="Times New Roman"/>
          <w:b/>
          <w:bCs/>
          <w:sz w:val="24"/>
          <w:szCs w:val="24"/>
          <w:lang w:val="fr-FR"/>
        </w:rPr>
        <w:t xml:space="preserve">éveloppement Durable au Burundi,  </w:t>
      </w:r>
      <w:r w:rsidR="00834179">
        <w:rPr>
          <w:rFonts w:ascii="Times New Roman" w:hAnsi="Times New Roman" w:cs="Times New Roman"/>
          <w:b/>
          <w:bCs/>
          <w:sz w:val="24"/>
          <w:szCs w:val="24"/>
          <w:lang w:val="fr-FR"/>
        </w:rPr>
        <w:t>(</w:t>
      </w:r>
      <w:r w:rsidR="00693427">
        <w:rPr>
          <w:rFonts w:ascii="Times New Roman" w:hAnsi="Times New Roman" w:cs="Times New Roman"/>
          <w:b/>
          <w:bCs/>
          <w:sz w:val="24"/>
          <w:szCs w:val="24"/>
          <w:lang w:val="fr-FR"/>
        </w:rPr>
        <w:t>AIDB</w:t>
      </w:r>
      <w:r w:rsidR="00834179">
        <w:rPr>
          <w:rFonts w:ascii="Times New Roman" w:hAnsi="Times New Roman" w:cs="Times New Roman"/>
          <w:b/>
          <w:bCs/>
          <w:sz w:val="24"/>
          <w:szCs w:val="24"/>
          <w:lang w:val="fr-FR"/>
        </w:rPr>
        <w:t>)</w:t>
      </w:r>
      <w:r w:rsidR="00693427">
        <w:rPr>
          <w:rFonts w:ascii="Times New Roman" w:hAnsi="Times New Roman" w:cs="Times New Roman"/>
          <w:b/>
          <w:bCs/>
          <w:sz w:val="24"/>
          <w:szCs w:val="24"/>
          <w:lang w:val="fr-FR"/>
        </w:rPr>
        <w:t xml:space="preserve"> </w:t>
      </w:r>
      <w:bookmarkStart w:id="0" w:name="_GoBack"/>
      <w:bookmarkEnd w:id="0"/>
    </w:p>
    <w:p w:rsidR="002C2F87" w:rsidRPr="002C2F87" w:rsidRDefault="002C2F87" w:rsidP="002C2F87">
      <w:pPr>
        <w:jc w:val="both"/>
        <w:rPr>
          <w:rFonts w:ascii="Times New Roman" w:hAnsi="Times New Roman" w:cs="Times New Roman"/>
          <w:sz w:val="24"/>
          <w:szCs w:val="24"/>
          <w:lang w:val="fr-FR"/>
        </w:rPr>
      </w:pPr>
      <w:r w:rsidRPr="002C2F87">
        <w:rPr>
          <w:rFonts w:ascii="Times New Roman" w:hAnsi="Times New Roman" w:cs="Times New Roman"/>
          <w:sz w:val="24"/>
          <w:szCs w:val="24"/>
          <w:lang w:val="fr-FR"/>
        </w:rPr>
        <w:t xml:space="preserve">L'AIDB est une ONG burundaise dirigée par des </w:t>
      </w:r>
      <w:proofErr w:type="spellStart"/>
      <w:r w:rsidRPr="002C2F87">
        <w:rPr>
          <w:rFonts w:ascii="Times New Roman" w:hAnsi="Times New Roman" w:cs="Times New Roman"/>
          <w:sz w:val="24"/>
          <w:szCs w:val="24"/>
          <w:lang w:val="fr-FR"/>
        </w:rPr>
        <w:t>Batwa</w:t>
      </w:r>
      <w:proofErr w:type="spellEnd"/>
      <w:r w:rsidRPr="002C2F87">
        <w:rPr>
          <w:rFonts w:ascii="Times New Roman" w:hAnsi="Times New Roman" w:cs="Times New Roman"/>
          <w:sz w:val="24"/>
          <w:szCs w:val="24"/>
          <w:lang w:val="fr-FR"/>
        </w:rPr>
        <w:t xml:space="preserve">. Sa mission est de donner au peuple </w:t>
      </w:r>
      <w:proofErr w:type="spellStart"/>
      <w:r w:rsidRPr="002C2F87">
        <w:rPr>
          <w:rFonts w:ascii="Times New Roman" w:hAnsi="Times New Roman" w:cs="Times New Roman"/>
          <w:sz w:val="24"/>
          <w:szCs w:val="24"/>
          <w:lang w:val="fr-FR"/>
        </w:rPr>
        <w:t>Batwa</w:t>
      </w:r>
      <w:proofErr w:type="spellEnd"/>
      <w:r w:rsidRPr="002C2F87">
        <w:rPr>
          <w:rFonts w:ascii="Times New Roman" w:hAnsi="Times New Roman" w:cs="Times New Roman"/>
          <w:sz w:val="24"/>
          <w:szCs w:val="24"/>
          <w:lang w:val="fr-FR"/>
        </w:rPr>
        <w:t xml:space="preserve"> du Burundi des moyens efficaces de mettre fin à la violation de ses droits, ainsi qu'à la marginalisation et à la discrimination auxquelles il</w:t>
      </w:r>
      <w:r w:rsidR="0045755A">
        <w:rPr>
          <w:rFonts w:ascii="Times New Roman" w:hAnsi="Times New Roman" w:cs="Times New Roman"/>
          <w:sz w:val="24"/>
          <w:szCs w:val="24"/>
          <w:lang w:val="fr-FR"/>
        </w:rPr>
        <w:t>s</w:t>
      </w:r>
      <w:r w:rsidRPr="002C2F87">
        <w:rPr>
          <w:rFonts w:ascii="Times New Roman" w:hAnsi="Times New Roman" w:cs="Times New Roman"/>
          <w:sz w:val="24"/>
          <w:szCs w:val="24"/>
          <w:lang w:val="fr-FR"/>
        </w:rPr>
        <w:t xml:space="preserve"> </w:t>
      </w:r>
      <w:r w:rsidR="0045755A">
        <w:rPr>
          <w:rFonts w:ascii="Times New Roman" w:hAnsi="Times New Roman" w:cs="Times New Roman"/>
          <w:sz w:val="24"/>
          <w:szCs w:val="24"/>
          <w:lang w:val="fr-FR"/>
        </w:rPr>
        <w:t>sont</w:t>
      </w:r>
      <w:r w:rsidRPr="002C2F87">
        <w:rPr>
          <w:rFonts w:ascii="Times New Roman" w:hAnsi="Times New Roman" w:cs="Times New Roman"/>
          <w:sz w:val="24"/>
          <w:szCs w:val="24"/>
          <w:lang w:val="fr-FR"/>
        </w:rPr>
        <w:t xml:space="preserve"> actuellement confronté</w:t>
      </w:r>
      <w:r w:rsidR="0045755A">
        <w:rPr>
          <w:rFonts w:ascii="Times New Roman" w:hAnsi="Times New Roman" w:cs="Times New Roman"/>
          <w:sz w:val="24"/>
          <w:szCs w:val="24"/>
          <w:lang w:val="fr-FR"/>
        </w:rPr>
        <w:t>s</w:t>
      </w:r>
      <w:r w:rsidRPr="002C2F87">
        <w:rPr>
          <w:rFonts w:ascii="Times New Roman" w:hAnsi="Times New Roman" w:cs="Times New Roman"/>
          <w:sz w:val="24"/>
          <w:szCs w:val="24"/>
          <w:lang w:val="fr-FR"/>
        </w:rPr>
        <w:t xml:space="preserve"> dans tous les aspects de la vie. L'AIDB est une ONG dotée du statut</w:t>
      </w:r>
      <w:r w:rsidR="0045755A">
        <w:rPr>
          <w:rFonts w:ascii="Times New Roman" w:hAnsi="Times New Roman" w:cs="Times New Roman"/>
          <w:sz w:val="24"/>
          <w:szCs w:val="24"/>
          <w:lang w:val="fr-FR"/>
        </w:rPr>
        <w:t xml:space="preserve"> consultatif spécial auprès du c</w:t>
      </w:r>
      <w:r w:rsidRPr="002C2F87">
        <w:rPr>
          <w:rFonts w:ascii="Times New Roman" w:hAnsi="Times New Roman" w:cs="Times New Roman"/>
          <w:sz w:val="24"/>
          <w:szCs w:val="24"/>
          <w:lang w:val="fr-FR"/>
        </w:rPr>
        <w:t>onseil économique et social des Nations Unies (ECOSOC)</w:t>
      </w:r>
      <w:r w:rsidR="001B232D">
        <w:rPr>
          <w:rFonts w:ascii="Times New Roman" w:hAnsi="Times New Roman" w:cs="Times New Roman"/>
          <w:sz w:val="24"/>
          <w:szCs w:val="24"/>
          <w:lang w:val="fr-FR"/>
        </w:rPr>
        <w:t xml:space="preserve"> </w:t>
      </w:r>
      <w:r w:rsidR="00A77D2A" w:rsidRPr="00A77D2A">
        <w:rPr>
          <w:rFonts w:ascii="Times New Roman" w:hAnsi="Times New Roman" w:cs="Times New Roman"/>
          <w:sz w:val="24"/>
          <w:szCs w:val="24"/>
          <w:lang w:val="fr-FR"/>
        </w:rPr>
        <w:t>et du statut d'observateur auprès du conseil d'administration de l’ONU Environnement, qui été renommé l’Assemblée des Nations Unies pour l’environnement (UNEA) de l’ONU Environnement.</w:t>
      </w:r>
      <w:r w:rsidRPr="002C2F87">
        <w:rPr>
          <w:rFonts w:ascii="Times New Roman" w:hAnsi="Times New Roman" w:cs="Times New Roman"/>
          <w:sz w:val="24"/>
          <w:szCs w:val="24"/>
          <w:lang w:val="fr-FR"/>
        </w:rPr>
        <w:t xml:space="preserve"> Elle a largement collaboré avec des organisations internationales telles que le Fonds de contributions volontaires des Nations Unies pour les formes contemporaines d'esclavage, l'UNICEF, le Fonds pour Environnement Mondial (FEM), le Fonds Mondial pour la lutter contre le Paludisme, Tuberculose et VIH/SIDA, et le Fonds des Nations Unies pour la population (FNUAP), CIVICUS. </w:t>
      </w:r>
    </w:p>
    <w:p w:rsidR="002C2F87" w:rsidRPr="002C2F87" w:rsidRDefault="002C2F87" w:rsidP="002C2F87">
      <w:pPr>
        <w:jc w:val="both"/>
        <w:rPr>
          <w:rFonts w:ascii="Times New Roman" w:hAnsi="Times New Roman" w:cs="Times New Roman"/>
          <w:b/>
          <w:bCs/>
          <w:sz w:val="24"/>
          <w:szCs w:val="24"/>
          <w:lang w:val="fr-FR"/>
        </w:rPr>
      </w:pPr>
    </w:p>
    <w:p w:rsidR="002C2F87" w:rsidRPr="002C2F87" w:rsidRDefault="002C2F87">
      <w:pPr>
        <w:rPr>
          <w:lang w:val="fr-FR"/>
        </w:rPr>
      </w:pPr>
    </w:p>
    <w:sectPr w:rsidR="002C2F87" w:rsidRPr="002C2F87" w:rsidSect="00413100">
      <w:headerReference w:type="default" r:id="rId9"/>
      <w:footerReference w:type="default" r:id="rId10"/>
      <w:pgSz w:w="12240" w:h="15840"/>
      <w:pgMar w:top="1440" w:right="1440" w:bottom="1440" w:left="1440" w:header="51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FF" w:rsidRDefault="00DF32FF" w:rsidP="002C2F87">
      <w:pPr>
        <w:spacing w:after="0" w:line="240" w:lineRule="auto"/>
      </w:pPr>
      <w:r>
        <w:separator/>
      </w:r>
    </w:p>
  </w:endnote>
  <w:endnote w:type="continuationSeparator" w:id="0">
    <w:p w:rsidR="00DF32FF" w:rsidRDefault="00DF32FF" w:rsidP="002C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00" w:rsidRPr="00F04B56" w:rsidRDefault="00DF32FF" w:rsidP="00413100">
    <w:pPr>
      <w:autoSpaceDE w:val="0"/>
      <w:spacing w:after="0" w:line="240" w:lineRule="auto"/>
      <w:jc w:val="center"/>
      <w:rPr>
        <w:rFonts w:ascii="TimesNewRomanPSMT" w:hAnsi="TimesNewRomanPSMT" w:cs="TimesNewRomanPSMT"/>
        <w:color w:val="008080"/>
        <w:sz w:val="24"/>
        <w:szCs w:val="24"/>
        <w:lang w:val="fr-FR"/>
      </w:rPr>
    </w:pPr>
    <w:r>
      <w:rPr>
        <w:noProof/>
        <w:sz w:val="24"/>
        <w:szCs w:val="24"/>
        <w:lang w:val="fr-FR" w:eastAsia="fr-FR"/>
      </w:rPr>
      <mc:AlternateContent>
        <mc:Choice Requires="wps">
          <w:drawing>
            <wp:anchor distT="0" distB="0" distL="114300" distR="114300" simplePos="0" relativeHeight="251660288" behindDoc="1" locked="0" layoutInCell="1" allowOverlap="1" wp14:anchorId="6058D8C8" wp14:editId="4B815882">
              <wp:simplePos x="0" y="0"/>
              <wp:positionH relativeFrom="column">
                <wp:posOffset>-323850</wp:posOffset>
              </wp:positionH>
              <wp:positionV relativeFrom="paragraph">
                <wp:posOffset>-43180</wp:posOffset>
              </wp:positionV>
              <wp:extent cx="6851650" cy="3810"/>
              <wp:effectExtent l="19050" t="23495" r="1587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3810"/>
                      </a:xfrm>
                      <a:prstGeom prst="straightConnector1">
                        <a:avLst/>
                      </a:prstGeom>
                      <a:noFill/>
                      <a:ln w="28440" cap="sq">
                        <a:solidFill>
                          <a:srgbClr val="0070C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5pt;margin-top:-3.4pt;width:539.5pt;height:.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MCbqAIAAI4FAAAOAAAAZHJzL2Uyb0RvYy54bWysVF1vmzAUfZ+0/2DxToGEAEUlVUrIXrqt&#10;Ujvt2bFNsAY2s92QaOp/37VJWNO9TFMTCfnrnnvuPce+uT10LdozpbkUhRddhR5igkjKxa7wvj1t&#10;/MxD2mBBcSsFK7wj097t8uOHm6HP2Uw2sqVMIQAROh/6wmuM6fMg0KRhHdZXsmcCNmupOmxgqnYB&#10;VXgA9K4NZmGYBINUtFeSMK1hdT1uekuHX9eMmK91rZlBbeEBN+O+yn239hssb3C+U7hvODnRwP/B&#10;osNcQNIJao0NRs+K/wXVcaKklrW5IrILZF1zwlwNUE0UvqnmscE9c7VAc3Q/tUm/Hyz5sn9QiFPQ&#10;zkMCdyDR6tlIlxnNbHuGXudwqhQPyhZIDuKxv5fkh0ZClg0WO+YOPx17iI1sRHARYie6hyTb4bOk&#10;cAYDvuvVoVadhYQuoIOT5DhJwg4GEVhMskWULEA5AnvzLHKKBTg/x/ZKm09MdsgOCk8bhfmuMaUU&#10;ArSXKnKZ8P5eG8sM5+cAm1jIDW9bZ4FWoKHwZlkc21wYnKh/ulAtW07tMRug1W5btgrtsbVTmIbl&#10;mc/FsY4bMHXLu8LLQvsbbdYwTCtBXT6DeTuOgVMrLDhzdh2JwuxgYOjWoRXOSr+uw+sqq7LYj2dJ&#10;5cfheu2vNmXsJ5soXazn67JcRy+WdRTnDaeUCUv8bOso/jfbnC7YaMjJ2FOvgkt011Qge8l0tVmE&#10;aTzP/DRdzP14XoX+XbYp/VUZJUla3ZV31Rumlatevw/ZqZWWlXwGNR4bOiDKrUfmi+sZmJ1yeAZm&#10;6agPwu0O3i9ilIeUNN+5aZyrrR8txoXwWWj/zumv0MdGnDW0s0mFU21/WgWan/V1l8Xej/GmbSU9&#10;PqjzJYJL74JOD5R9VV7PYfz6GV3+BgAA//8DAFBLAwQUAAYACAAAACEAZsAmG90AAAAKAQAADwAA&#10;AGRycy9kb3ducmV2LnhtbEyPQWuDQBCF74H+h2UKvSVrhEgwrqGUBnoLTULOG52o1J2V3TVqfn3H&#10;U3ubefN4871sP5pWPND5xpKC9SoCgVTYsqFKweV8WG5B+KCp1K0lVDChh33+ssh0WtqBvvFxCpXg&#10;EPKpVlCH0KVS+qJGo/3Kdkh8u1tndODVVbJ0euBw08o4ihJpdEP8odYdftRY/Jx6oyBxh+JrOk7u&#10;83ptNuf+eRzc867U2+v4vgMRcAx/ZpjxGR1yZrrZnkovWgXLzZq7BB4SrjAbonjLym1WYpB5Jv9X&#10;yH8BAAD//wMAUEsBAi0AFAAGAAgAAAAhALaDOJL+AAAA4QEAABMAAAAAAAAAAAAAAAAAAAAAAFtD&#10;b250ZW50X1R5cGVzXS54bWxQSwECLQAUAAYACAAAACEAOP0h/9YAAACUAQAACwAAAAAAAAAAAAAA&#10;AAAvAQAAX3JlbHMvLnJlbHNQSwECLQAUAAYACAAAACEACiTAm6gCAACOBQAADgAAAAAAAAAAAAAA&#10;AAAuAgAAZHJzL2Uyb0RvYy54bWxQSwECLQAUAAYACAAAACEAZsAmG90AAAAKAQAADwAAAAAAAAAA&#10;AAAAAAACBQAAZHJzL2Rvd25yZXYueG1sUEsFBgAAAAAEAAQA8wAAAAwGAAAAAA==&#10;" strokecolor="#0070c0" strokeweight=".79mm">
              <v:stroke joinstyle="miter" endcap="square"/>
            </v:shape>
          </w:pict>
        </mc:Fallback>
      </mc:AlternateContent>
    </w:r>
    <w:proofErr w:type="spellStart"/>
    <w:r w:rsidRPr="00F04B56">
      <w:rPr>
        <w:rFonts w:ascii="TimesNewRomanPSMT" w:hAnsi="TimesNewRomanPSMT" w:cs="TimesNewRomanPSMT"/>
        <w:color w:val="008080"/>
        <w:sz w:val="24"/>
        <w:szCs w:val="24"/>
        <w:lang w:val="fr-FR"/>
      </w:rPr>
      <w:t>Rohero</w:t>
    </w:r>
    <w:proofErr w:type="spellEnd"/>
    <w:r w:rsidRPr="00F04B56">
      <w:rPr>
        <w:rFonts w:ascii="TimesNewRomanPSMT" w:hAnsi="TimesNewRomanPSMT" w:cs="TimesNewRomanPSMT"/>
        <w:color w:val="008080"/>
        <w:sz w:val="24"/>
        <w:szCs w:val="24"/>
        <w:lang w:val="fr-FR"/>
      </w:rPr>
      <w:t xml:space="preserve"> I</w:t>
    </w:r>
    <w:r w:rsidRPr="00F04B56">
      <w:rPr>
        <w:rFonts w:ascii="TimesNewRomanPSMT" w:hAnsi="TimesNewRomanPSMT" w:cs="TimesNewRomanPSMT" w:hint="eastAsia"/>
        <w:color w:val="008080"/>
        <w:sz w:val="24"/>
        <w:szCs w:val="24"/>
        <w:lang w:val="fr-FR"/>
      </w:rPr>
      <w:t>,</w:t>
    </w:r>
    <w:r w:rsidRPr="00F04B56">
      <w:rPr>
        <w:rFonts w:ascii="TimesNewRomanPSMT" w:hAnsi="TimesNewRomanPSMT" w:cs="TimesNewRomanPSMT"/>
        <w:color w:val="008080"/>
        <w:sz w:val="24"/>
        <w:szCs w:val="24"/>
        <w:lang w:val="fr-FR"/>
      </w:rPr>
      <w:t xml:space="preserve"> Av. </w:t>
    </w:r>
    <w:proofErr w:type="spellStart"/>
    <w:r w:rsidRPr="00F04B56">
      <w:rPr>
        <w:rFonts w:ascii="TimesNewRomanPSMT" w:hAnsi="TimesNewRomanPSMT" w:cs="TimesNewRomanPSMT"/>
        <w:color w:val="008080"/>
        <w:sz w:val="24"/>
        <w:szCs w:val="24"/>
        <w:lang w:val="fr-FR"/>
      </w:rPr>
      <w:t>Ngendandumwe</w:t>
    </w:r>
    <w:proofErr w:type="spellEnd"/>
    <w:r w:rsidRPr="00F04B56">
      <w:rPr>
        <w:rFonts w:ascii="TimesNewRomanPSMT" w:hAnsi="TimesNewRomanPSMT" w:cs="TimesNewRomanPSMT"/>
        <w:color w:val="008080"/>
        <w:sz w:val="24"/>
        <w:szCs w:val="24"/>
        <w:lang w:val="fr-FR"/>
      </w:rPr>
      <w:t>, N° 32</w:t>
    </w:r>
    <w:r w:rsidRPr="00F04B56">
      <w:rPr>
        <w:rFonts w:ascii="TimesNewRomanPSMT" w:hAnsi="TimesNewRomanPSMT" w:cs="TimesNewRomanPSMT" w:hint="eastAsia"/>
        <w:color w:val="008080"/>
        <w:sz w:val="24"/>
        <w:szCs w:val="24"/>
        <w:lang w:val="fr-FR"/>
      </w:rPr>
      <w:t>,</w:t>
    </w:r>
    <w:r w:rsidRPr="00F04B56">
      <w:rPr>
        <w:rFonts w:ascii="TimesNewRomanPSMT" w:hAnsi="TimesNewRomanPSMT" w:cs="TimesNewRomanPSMT"/>
        <w:color w:val="008080"/>
        <w:sz w:val="24"/>
        <w:szCs w:val="24"/>
        <w:lang w:val="fr-FR"/>
      </w:rPr>
      <w:t xml:space="preserve"> Immeuble </w:t>
    </w:r>
    <w:r w:rsidRPr="00F04B56">
      <w:rPr>
        <w:rFonts w:ascii="TimesNewRomanPSMT" w:hAnsi="TimesNewRomanPSMT" w:cs="TimesNewRomanPSMT" w:hint="eastAsia"/>
        <w:color w:val="008080"/>
        <w:sz w:val="24"/>
        <w:szCs w:val="24"/>
        <w:lang w:val="fr-FR"/>
      </w:rPr>
      <w:t xml:space="preserve">« Maison des </w:t>
    </w:r>
    <w:r w:rsidRPr="00F04B56">
      <w:rPr>
        <w:rFonts w:ascii="TimesNewRomanPSMT" w:hAnsi="TimesNewRomanPSMT" w:cs="TimesNewRomanPSMT"/>
        <w:color w:val="008080"/>
        <w:sz w:val="24"/>
        <w:szCs w:val="24"/>
        <w:lang w:val="fr-FR"/>
      </w:rPr>
      <w:t>œuvres</w:t>
    </w:r>
    <w:r w:rsidRPr="00F04B56">
      <w:rPr>
        <w:rFonts w:ascii="TimesNewRomanPSMT" w:hAnsi="TimesNewRomanPSMT" w:cs="TimesNewRomanPSMT" w:hint="eastAsia"/>
        <w:color w:val="008080"/>
        <w:sz w:val="24"/>
        <w:szCs w:val="24"/>
        <w:lang w:val="fr-FR"/>
      </w:rPr>
      <w:t> »</w:t>
    </w:r>
    <w:r w:rsidRPr="00F04B56">
      <w:rPr>
        <w:rFonts w:ascii="TimesNewRomanPSMT" w:hAnsi="TimesNewRomanPSMT" w:cs="TimesNewRomanPSMT"/>
        <w:color w:val="008080"/>
        <w:sz w:val="24"/>
        <w:szCs w:val="24"/>
        <w:lang w:val="fr-FR"/>
      </w:rPr>
      <w:t xml:space="preserve"> Bujumbura</w:t>
    </w:r>
    <w:r w:rsidRPr="00F04B56">
      <w:rPr>
        <w:rFonts w:ascii="Times New Roman" w:hAnsi="Times New Roman"/>
        <w:color w:val="008080"/>
        <w:sz w:val="24"/>
        <w:szCs w:val="24"/>
        <w:lang w:val="fr-FR"/>
      </w:rPr>
      <w:t xml:space="preserve"> </w:t>
    </w:r>
    <w:r w:rsidRPr="00F04B56">
      <w:rPr>
        <w:rFonts w:ascii="TimesNewRomanPSMT" w:hAnsi="TimesNewRomanPSMT" w:cs="TimesNewRomanPSMT"/>
        <w:color w:val="008080"/>
        <w:sz w:val="24"/>
        <w:szCs w:val="24"/>
        <w:lang w:val="fr-FR"/>
      </w:rPr>
      <w:t>Burundi, OM N° 530</w:t>
    </w:r>
    <w:r w:rsidRPr="00F04B56">
      <w:rPr>
        <w:rFonts w:ascii="TimesNewRomanPSMT" w:hAnsi="TimesNewRomanPSMT" w:cs="TimesNewRomanPSMT" w:hint="eastAsia"/>
        <w:color w:val="008080"/>
        <w:sz w:val="24"/>
        <w:szCs w:val="24"/>
        <w:lang w:val="fr-FR"/>
      </w:rPr>
      <w:t> </w:t>
    </w:r>
    <w:r w:rsidRPr="00F04B56">
      <w:rPr>
        <w:rFonts w:ascii="TimesNewRomanPSMT" w:hAnsi="TimesNewRomanPSMT" w:cs="TimesNewRomanPSMT"/>
        <w:color w:val="008080"/>
        <w:sz w:val="24"/>
        <w:szCs w:val="24"/>
        <w:lang w:val="fr-FR"/>
      </w:rPr>
      <w:t>/ 678 du 27 Mai 2009</w:t>
    </w:r>
  </w:p>
  <w:p w:rsidR="00413100" w:rsidRPr="00AC2838" w:rsidRDefault="00DF32FF" w:rsidP="00413100">
    <w:pPr>
      <w:autoSpaceDE w:val="0"/>
      <w:spacing w:after="0" w:line="240" w:lineRule="auto"/>
      <w:jc w:val="center"/>
      <w:rPr>
        <w:rFonts w:ascii="TimesNewRomanPSMT" w:hAnsi="TimesNewRomanPSMT" w:cs="TimesNewRomanPSMT"/>
        <w:color w:val="008080"/>
        <w:sz w:val="24"/>
        <w:szCs w:val="24"/>
        <w:lang w:val="fr-FR"/>
      </w:rPr>
    </w:pPr>
    <w:r>
      <w:rPr>
        <w:rFonts w:ascii="TimesNewRomanPSMT" w:hAnsi="TimesNewRomanPSMT" w:cs="TimesNewRomanPSMT"/>
        <w:color w:val="008080"/>
        <w:sz w:val="24"/>
        <w:szCs w:val="24"/>
        <w:lang w:val="fr-FR"/>
      </w:rPr>
      <w:t>Tél:</w:t>
    </w:r>
    <w:r w:rsidR="00FD1F56">
      <w:rPr>
        <w:rFonts w:ascii="TimesNewRomanPSMT" w:hAnsi="TimesNewRomanPSMT" w:cs="TimesNewRomanPSMT"/>
        <w:color w:val="008080"/>
        <w:sz w:val="24"/>
        <w:szCs w:val="24"/>
        <w:lang w:val="fr-FR"/>
      </w:rPr>
      <w:t xml:space="preserve">(+257) </w:t>
    </w:r>
    <w:r>
      <w:rPr>
        <w:rFonts w:ascii="TimesNewRomanPSMT" w:hAnsi="TimesNewRomanPSMT" w:cs="TimesNewRomanPSMT"/>
        <w:color w:val="008080"/>
        <w:sz w:val="24"/>
        <w:szCs w:val="24"/>
        <w:lang w:val="fr-FR"/>
      </w:rPr>
      <w:t>79991315</w:t>
    </w:r>
    <w:r w:rsidRPr="00AC2838">
      <w:rPr>
        <w:rFonts w:ascii="TimesNewRomanPSMT" w:hAnsi="TimesNewRomanPSMT" w:cs="TimesNewRomanPSMT"/>
        <w:color w:val="008080"/>
        <w:sz w:val="24"/>
        <w:szCs w:val="24"/>
        <w:lang w:val="fr-FR"/>
      </w:rPr>
      <w:t xml:space="preserve">,*Email:aidbburundi2009@yahoo.fr* </w:t>
    </w:r>
  </w:p>
  <w:p w:rsidR="00413100" w:rsidRPr="00847FEA" w:rsidRDefault="00DF32FF" w:rsidP="00413100">
    <w:pPr>
      <w:autoSpaceDE w:val="0"/>
      <w:spacing w:after="0" w:line="240" w:lineRule="auto"/>
      <w:jc w:val="center"/>
    </w:pPr>
    <w:r w:rsidRPr="00137550">
      <w:rPr>
        <w:rFonts w:ascii="TimesNewRomanPSMT" w:hAnsi="TimesNewRomanPSMT" w:cs="TimesNewRomanPSMT"/>
        <w:color w:val="008080"/>
        <w:sz w:val="24"/>
        <w:szCs w:val="24"/>
      </w:rPr>
      <w:t xml:space="preserve">Site web: </w:t>
    </w:r>
    <w:hyperlink r:id="rId1" w:history="1">
      <w:r w:rsidRPr="00F04C77">
        <w:rPr>
          <w:rStyle w:val="Lienhypertexte"/>
          <w:rFonts w:ascii="TimesNewRomanPSMT" w:hAnsi="TimesNewRomanPSMT"/>
          <w:sz w:val="24"/>
          <w:szCs w:val="24"/>
        </w:rPr>
        <w:t>https://aidb-burundi.puzl.com</w:t>
      </w:r>
    </w:hyperlink>
    <w:r>
      <w:rPr>
        <w:rFonts w:ascii="TimesNewRomanPSMT" w:hAnsi="TimesNewRomanPSMT"/>
        <w:sz w:val="24"/>
        <w:szCs w:val="24"/>
      </w:rPr>
      <w:t xml:space="preserve">   </w:t>
    </w:r>
  </w:p>
  <w:p w:rsidR="00413100" w:rsidRPr="00137550" w:rsidRDefault="00DF32FF" w:rsidP="004131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FF" w:rsidRDefault="00DF32FF" w:rsidP="002C2F87">
      <w:pPr>
        <w:spacing w:after="0" w:line="240" w:lineRule="auto"/>
      </w:pPr>
      <w:r>
        <w:separator/>
      </w:r>
    </w:p>
  </w:footnote>
  <w:footnote w:type="continuationSeparator" w:id="0">
    <w:p w:rsidR="00DF32FF" w:rsidRDefault="00DF32FF" w:rsidP="002C2F87">
      <w:pPr>
        <w:spacing w:after="0" w:line="240" w:lineRule="auto"/>
      </w:pPr>
      <w:r>
        <w:continuationSeparator/>
      </w:r>
    </w:p>
  </w:footnote>
  <w:footnote w:id="1">
    <w:p w:rsidR="002C2F87" w:rsidRPr="00510BD2" w:rsidRDefault="002C2F87" w:rsidP="002C2F87">
      <w:pPr>
        <w:pStyle w:val="Notedebasdepage"/>
        <w:rPr>
          <w:lang w:val="en-US"/>
        </w:rPr>
      </w:pPr>
      <w:r>
        <w:rPr>
          <w:rStyle w:val="Appelnotedebasdep"/>
        </w:rPr>
        <w:footnoteRef/>
      </w:r>
      <w:r w:rsidRPr="00510BD2">
        <w:rPr>
          <w:lang w:val="en-US"/>
        </w:rPr>
        <w:t xml:space="preserve"> International Work Group for Indigenous Affairs, Country Technical Note on Indigenous Peoples’ Issues: Burundi, 2014</w:t>
      </w:r>
    </w:p>
  </w:footnote>
  <w:footnote w:id="2">
    <w:p w:rsidR="002C2F87" w:rsidRPr="002C2F87" w:rsidRDefault="002C2F87" w:rsidP="002C2F87">
      <w:pPr>
        <w:pStyle w:val="Notedebasdepage"/>
        <w:rPr>
          <w:lang w:val="fr-FR"/>
        </w:rPr>
      </w:pPr>
      <w:r>
        <w:rPr>
          <w:rStyle w:val="Appelnotedebasdep"/>
        </w:rPr>
        <w:footnoteRef/>
      </w:r>
      <w:r w:rsidRPr="002C2F87">
        <w:rPr>
          <w:lang w:val="fr-FR"/>
        </w:rPr>
        <w:t xml:space="preserve"> </w:t>
      </w:r>
      <w:proofErr w:type="spellStart"/>
      <w:r w:rsidRPr="002C2F87">
        <w:rPr>
          <w:lang w:val="fr-FR"/>
        </w:rPr>
        <w:t>Ministere</w:t>
      </w:r>
      <w:proofErr w:type="spellEnd"/>
      <w:r w:rsidRPr="002C2F87">
        <w:rPr>
          <w:lang w:val="fr-FR"/>
        </w:rPr>
        <w:t xml:space="preserve"> de la Santé Publique et de la Lutte contre le SIDA, Projet </w:t>
      </w:r>
      <w:proofErr w:type="spellStart"/>
      <w:r w:rsidRPr="002C2F87">
        <w:rPr>
          <w:lang w:val="fr-FR"/>
        </w:rPr>
        <w:t>Nkuriza</w:t>
      </w:r>
      <w:proofErr w:type="spellEnd"/>
      <w:r w:rsidRPr="002C2F87">
        <w:rPr>
          <w:lang w:val="fr-FR"/>
        </w:rPr>
        <w:t>: Cadre de Planification des Peuples Autochtones (</w:t>
      </w:r>
      <w:proofErr w:type="spellStart"/>
      <w:r w:rsidRPr="002C2F87">
        <w:rPr>
          <w:lang w:val="fr-FR"/>
        </w:rPr>
        <w:t>Batwa</w:t>
      </w:r>
      <w:proofErr w:type="spellEnd"/>
      <w:r w:rsidRPr="002C2F87">
        <w:rPr>
          <w:lang w:val="fr-FR"/>
        </w:rPr>
        <w:t xml:space="preserve">), 2019, p.12; et </w:t>
      </w:r>
      <w:proofErr w:type="spellStart"/>
      <w:r w:rsidRPr="002C2F87">
        <w:rPr>
          <w:lang w:val="fr-FR"/>
        </w:rPr>
        <w:t>Republic</w:t>
      </w:r>
      <w:proofErr w:type="spellEnd"/>
      <w:r w:rsidRPr="002C2F87">
        <w:rPr>
          <w:lang w:val="fr-FR"/>
        </w:rPr>
        <w:t xml:space="preserve"> of Burundi, Vision Burundi 2025, (2011), p.76.</w:t>
      </w:r>
    </w:p>
  </w:footnote>
  <w:footnote w:id="3">
    <w:p w:rsidR="002C2F87" w:rsidRPr="002C2F87" w:rsidRDefault="002C2F87" w:rsidP="002C2F87">
      <w:pPr>
        <w:pStyle w:val="Notedebasdepage"/>
        <w:rPr>
          <w:lang w:val="fr-FR"/>
        </w:rPr>
      </w:pPr>
      <w:r>
        <w:rPr>
          <w:rStyle w:val="Appelnotedebasdep"/>
        </w:rPr>
        <w:footnoteRef/>
      </w:r>
      <w:r w:rsidRPr="002C2F87">
        <w:rPr>
          <w:lang w:val="fr-FR"/>
        </w:rPr>
        <w:t xml:space="preserve"> </w:t>
      </w:r>
      <w:proofErr w:type="spellStart"/>
      <w:r w:rsidRPr="002C2F87">
        <w:rPr>
          <w:lang w:val="fr-FR"/>
        </w:rPr>
        <w:t>Ministere</w:t>
      </w:r>
      <w:proofErr w:type="spellEnd"/>
      <w:r w:rsidRPr="002C2F87">
        <w:rPr>
          <w:lang w:val="fr-FR"/>
        </w:rPr>
        <w:t xml:space="preserve"> de la Santé Publique et de la Lutte contre le SIDA, op. </w:t>
      </w:r>
      <w:proofErr w:type="spellStart"/>
      <w:proofErr w:type="gramStart"/>
      <w:r w:rsidRPr="002C2F87">
        <w:rPr>
          <w:lang w:val="fr-FR"/>
        </w:rPr>
        <w:t>cit</w:t>
      </w:r>
      <w:proofErr w:type="spellEnd"/>
      <w:proofErr w:type="gramEnd"/>
      <w:r w:rsidRPr="002C2F87">
        <w:rPr>
          <w:lang w:val="fr-FR"/>
        </w:rPr>
        <w:t>.</w:t>
      </w:r>
    </w:p>
  </w:footnote>
  <w:footnote w:id="4">
    <w:p w:rsidR="002C2F87" w:rsidRPr="002C2F87" w:rsidRDefault="002C2F87" w:rsidP="002C2F87">
      <w:pPr>
        <w:pStyle w:val="Notedebasdepage"/>
        <w:rPr>
          <w:lang w:val="fr-FR"/>
        </w:rPr>
      </w:pPr>
      <w:r>
        <w:rPr>
          <w:rStyle w:val="Appelnotedebasdep"/>
        </w:rPr>
        <w:footnoteRef/>
      </w:r>
      <w:r w:rsidRPr="002C2F87">
        <w:rPr>
          <w:lang w:val="fr-FR"/>
        </w:rPr>
        <w:t xml:space="preserve"> Vision Burundi 2025, op. </w:t>
      </w:r>
      <w:proofErr w:type="spellStart"/>
      <w:proofErr w:type="gramStart"/>
      <w:r w:rsidRPr="002C2F87">
        <w:rPr>
          <w:lang w:val="fr-FR"/>
        </w:rPr>
        <w:t>cit</w:t>
      </w:r>
      <w:proofErr w:type="spellEnd"/>
      <w:proofErr w:type="gramEnd"/>
      <w:r w:rsidRPr="002C2F87">
        <w:rPr>
          <w:lang w:val="fr-FR"/>
        </w:rPr>
        <w:t>.</w:t>
      </w:r>
    </w:p>
  </w:footnote>
  <w:footnote w:id="5">
    <w:p w:rsidR="002C2F87" w:rsidRPr="002C2F87" w:rsidRDefault="002C2F87" w:rsidP="002C2F87">
      <w:pPr>
        <w:pStyle w:val="Notedebasdepage"/>
        <w:rPr>
          <w:lang w:val="fr-FR"/>
        </w:rPr>
      </w:pPr>
      <w:r>
        <w:rPr>
          <w:rStyle w:val="Appelnotedebasdep"/>
        </w:rPr>
        <w:footnoteRef/>
      </w:r>
      <w:r w:rsidRPr="002C2F87">
        <w:rPr>
          <w:lang w:val="fr-FR"/>
        </w:rPr>
        <w:t xml:space="preserve"> International </w:t>
      </w:r>
      <w:proofErr w:type="spellStart"/>
      <w:r w:rsidRPr="002C2F87">
        <w:rPr>
          <w:lang w:val="fr-FR"/>
        </w:rPr>
        <w:t>Work</w:t>
      </w:r>
      <w:proofErr w:type="spellEnd"/>
      <w:r w:rsidRPr="002C2F87">
        <w:rPr>
          <w:lang w:val="fr-FR"/>
        </w:rPr>
        <w:t xml:space="preserve"> Group for </w:t>
      </w:r>
      <w:proofErr w:type="spellStart"/>
      <w:r w:rsidRPr="002C2F87">
        <w:rPr>
          <w:lang w:val="fr-FR"/>
        </w:rPr>
        <w:t>Indigenous</w:t>
      </w:r>
      <w:proofErr w:type="spellEnd"/>
      <w:r w:rsidRPr="002C2F87">
        <w:rPr>
          <w:lang w:val="fr-FR"/>
        </w:rPr>
        <w:t xml:space="preserve"> </w:t>
      </w:r>
      <w:proofErr w:type="spellStart"/>
      <w:r w:rsidRPr="002C2F87">
        <w:rPr>
          <w:lang w:val="fr-FR"/>
        </w:rPr>
        <w:t>Affairs</w:t>
      </w:r>
      <w:proofErr w:type="spellEnd"/>
      <w:r w:rsidRPr="002C2F87">
        <w:rPr>
          <w:lang w:val="fr-FR"/>
        </w:rPr>
        <w:t xml:space="preserve">, op. </w:t>
      </w:r>
      <w:proofErr w:type="spellStart"/>
      <w:proofErr w:type="gramStart"/>
      <w:r w:rsidRPr="002C2F87">
        <w:rPr>
          <w:lang w:val="fr-FR"/>
        </w:rPr>
        <w:t>cit</w:t>
      </w:r>
      <w:proofErr w:type="spellEnd"/>
      <w:r w:rsidRPr="002C2F87">
        <w:rPr>
          <w:lang w:val="fr-FR"/>
        </w:rPr>
        <w:t>.;</w:t>
      </w:r>
      <w:proofErr w:type="gramEnd"/>
      <w:r w:rsidRPr="002C2F87">
        <w:rPr>
          <w:lang w:val="fr-FR"/>
        </w:rPr>
        <w:t xml:space="preserve"> et </w:t>
      </w:r>
      <w:proofErr w:type="spellStart"/>
      <w:r w:rsidRPr="002C2F87">
        <w:rPr>
          <w:lang w:val="fr-FR"/>
        </w:rPr>
        <w:t>Ministere</w:t>
      </w:r>
      <w:proofErr w:type="spellEnd"/>
      <w:r w:rsidRPr="002C2F87">
        <w:rPr>
          <w:lang w:val="fr-FR"/>
        </w:rPr>
        <w:t xml:space="preserve"> de la Santé Publique et de la Lutte contre le SIDA, op. </w:t>
      </w:r>
      <w:proofErr w:type="spellStart"/>
      <w:proofErr w:type="gramStart"/>
      <w:r w:rsidRPr="002C2F87">
        <w:rPr>
          <w:lang w:val="fr-FR"/>
        </w:rPr>
        <w:t>cit</w:t>
      </w:r>
      <w:proofErr w:type="spellEnd"/>
      <w:proofErr w:type="gramEnd"/>
      <w:r w:rsidRPr="002C2F87">
        <w:rPr>
          <w:lang w:val="fr-FR"/>
        </w:rPr>
        <w:t>.</w:t>
      </w:r>
    </w:p>
  </w:footnote>
  <w:footnote w:id="6">
    <w:p w:rsidR="002C2F87" w:rsidRPr="002C2F87" w:rsidRDefault="002C2F87" w:rsidP="002C2F87">
      <w:pPr>
        <w:pStyle w:val="Notedebasdepage"/>
        <w:rPr>
          <w:lang w:val="fr-FR"/>
        </w:rPr>
      </w:pPr>
      <w:r>
        <w:rPr>
          <w:rStyle w:val="Appelnotedebasdep"/>
        </w:rPr>
        <w:footnoteRef/>
      </w:r>
      <w:r w:rsidRPr="002C2F87">
        <w:rPr>
          <w:lang w:val="fr-FR"/>
        </w:rPr>
        <w:t xml:space="preserve"> International </w:t>
      </w:r>
      <w:proofErr w:type="spellStart"/>
      <w:r w:rsidRPr="002C2F87">
        <w:rPr>
          <w:lang w:val="fr-FR"/>
        </w:rPr>
        <w:t>Work</w:t>
      </w:r>
      <w:proofErr w:type="spellEnd"/>
      <w:r w:rsidRPr="002C2F87">
        <w:rPr>
          <w:lang w:val="fr-FR"/>
        </w:rPr>
        <w:t xml:space="preserve"> Group for </w:t>
      </w:r>
      <w:proofErr w:type="spellStart"/>
      <w:r w:rsidRPr="002C2F87">
        <w:rPr>
          <w:lang w:val="fr-FR"/>
        </w:rPr>
        <w:t>Indigenous</w:t>
      </w:r>
      <w:proofErr w:type="spellEnd"/>
      <w:r w:rsidRPr="002C2F87">
        <w:rPr>
          <w:lang w:val="fr-FR"/>
        </w:rPr>
        <w:t xml:space="preserve"> </w:t>
      </w:r>
      <w:proofErr w:type="spellStart"/>
      <w:r w:rsidRPr="002C2F87">
        <w:rPr>
          <w:lang w:val="fr-FR"/>
        </w:rPr>
        <w:t>Affairs</w:t>
      </w:r>
      <w:proofErr w:type="spellEnd"/>
      <w:r w:rsidRPr="002C2F87">
        <w:rPr>
          <w:lang w:val="fr-FR"/>
        </w:rPr>
        <w:t xml:space="preserve">, op. </w:t>
      </w:r>
      <w:proofErr w:type="spellStart"/>
      <w:proofErr w:type="gramStart"/>
      <w:r w:rsidRPr="002C2F87">
        <w:rPr>
          <w:lang w:val="fr-FR"/>
        </w:rPr>
        <w:t>cit</w:t>
      </w:r>
      <w:proofErr w:type="spellEnd"/>
      <w:r w:rsidRPr="002C2F87">
        <w:rPr>
          <w:lang w:val="fr-FR"/>
        </w:rPr>
        <w:t>.;</w:t>
      </w:r>
      <w:proofErr w:type="gramEnd"/>
      <w:r w:rsidRPr="002C2F87">
        <w:rPr>
          <w:lang w:val="fr-FR"/>
        </w:rPr>
        <w:t xml:space="preserve"> et </w:t>
      </w:r>
      <w:proofErr w:type="spellStart"/>
      <w:r w:rsidRPr="002C2F87">
        <w:rPr>
          <w:lang w:val="fr-FR"/>
        </w:rPr>
        <w:t>Ministere</w:t>
      </w:r>
      <w:proofErr w:type="spellEnd"/>
      <w:r w:rsidRPr="002C2F87">
        <w:rPr>
          <w:lang w:val="fr-FR"/>
        </w:rPr>
        <w:t xml:space="preserve"> de la Santé Publique et de la Lutte contre le SIDA, op. </w:t>
      </w:r>
      <w:proofErr w:type="spellStart"/>
      <w:proofErr w:type="gramStart"/>
      <w:r w:rsidRPr="002C2F87">
        <w:rPr>
          <w:lang w:val="fr-FR"/>
        </w:rPr>
        <w:t>cit</w:t>
      </w:r>
      <w:proofErr w:type="spellEnd"/>
      <w:proofErr w:type="gramEnd"/>
      <w:r w:rsidRPr="002C2F87">
        <w:rPr>
          <w:lang w:val="fr-FR"/>
        </w:rPr>
        <w:t>.</w:t>
      </w:r>
    </w:p>
  </w:footnote>
  <w:footnote w:id="7">
    <w:p w:rsidR="002C2F87" w:rsidRPr="00510BD2" w:rsidRDefault="002C2F87" w:rsidP="002C2F87">
      <w:pPr>
        <w:pStyle w:val="Notedebasdepage"/>
        <w:rPr>
          <w:lang w:val="en-US"/>
        </w:rPr>
      </w:pPr>
      <w:r>
        <w:rPr>
          <w:rStyle w:val="Appelnotedebasdep"/>
        </w:rPr>
        <w:footnoteRef/>
      </w:r>
      <w:r w:rsidRPr="00510BD2">
        <w:rPr>
          <w:lang w:val="en-US"/>
        </w:rPr>
        <w:t xml:space="preserve"> </w:t>
      </w:r>
      <w:proofErr w:type="gramStart"/>
      <w:r w:rsidRPr="00510BD2">
        <w:rPr>
          <w:lang w:val="en-US"/>
        </w:rPr>
        <w:t>International Work Group for Indigenous Affairs, op. cit.</w:t>
      </w:r>
      <w:proofErr w:type="gramEnd"/>
    </w:p>
  </w:footnote>
  <w:footnote w:id="8">
    <w:p w:rsidR="002C2F87" w:rsidRPr="00510BD2" w:rsidRDefault="002C2F87" w:rsidP="002C2F87">
      <w:pPr>
        <w:pStyle w:val="Notedebasdepage"/>
        <w:rPr>
          <w:lang w:val="en-US"/>
        </w:rPr>
      </w:pPr>
      <w:r>
        <w:rPr>
          <w:rStyle w:val="Appelnotedebasdep"/>
        </w:rPr>
        <w:footnoteRef/>
      </w:r>
      <w:r w:rsidRPr="00510BD2">
        <w:rPr>
          <w:lang w:val="en-US"/>
        </w:rPr>
        <w:t xml:space="preserve"> </w:t>
      </w:r>
      <w:proofErr w:type="gramStart"/>
      <w:r w:rsidRPr="00510BD2">
        <w:rPr>
          <w:lang w:val="en-US"/>
        </w:rPr>
        <w:t>International Work Group for Indigenous Affairs, op. cit.</w:t>
      </w:r>
      <w:proofErr w:type="gramEnd"/>
    </w:p>
  </w:footnote>
  <w:footnote w:id="9">
    <w:p w:rsidR="002C2F87" w:rsidRPr="002C2F87" w:rsidRDefault="002C2F87" w:rsidP="002C2F87">
      <w:pPr>
        <w:pStyle w:val="Notedebasdepage"/>
        <w:rPr>
          <w:lang w:val="fr-FR"/>
        </w:rPr>
      </w:pPr>
      <w:r>
        <w:rPr>
          <w:rStyle w:val="Appelnotedebasdep"/>
        </w:rPr>
        <w:footnoteRef/>
      </w:r>
      <w:r w:rsidRPr="002C2F87">
        <w:rPr>
          <w:lang w:val="fr-FR"/>
        </w:rPr>
        <w:t xml:space="preserve"> </w:t>
      </w:r>
      <w:proofErr w:type="spellStart"/>
      <w:r w:rsidRPr="002C2F87">
        <w:rPr>
          <w:lang w:val="fr-FR"/>
        </w:rPr>
        <w:t>Ministere</w:t>
      </w:r>
      <w:proofErr w:type="spellEnd"/>
      <w:r w:rsidRPr="002C2F87">
        <w:rPr>
          <w:lang w:val="fr-FR"/>
        </w:rPr>
        <w:t xml:space="preserve"> de la Santé Publique et de la Lutte contre le SIDA, op. </w:t>
      </w:r>
      <w:proofErr w:type="spellStart"/>
      <w:proofErr w:type="gramStart"/>
      <w:r w:rsidRPr="002C2F87">
        <w:rPr>
          <w:lang w:val="fr-FR"/>
        </w:rPr>
        <w:t>cit</w:t>
      </w:r>
      <w:proofErr w:type="spellEnd"/>
      <w:r w:rsidRPr="002C2F87">
        <w:rPr>
          <w:lang w:val="fr-FR"/>
        </w:rPr>
        <w:t>.,</w:t>
      </w:r>
      <w:proofErr w:type="gramEnd"/>
      <w:r w:rsidRPr="002C2F87">
        <w:rPr>
          <w:lang w:val="fr-FR"/>
        </w:rPr>
        <w:t xml:space="preserve"> pp. 36-37</w:t>
      </w:r>
    </w:p>
  </w:footnote>
  <w:footnote w:id="10">
    <w:p w:rsidR="002C2F87" w:rsidRPr="002C2F87" w:rsidRDefault="002C2F87" w:rsidP="002C2F87">
      <w:pPr>
        <w:pStyle w:val="Notedebasdepage"/>
        <w:rPr>
          <w:lang w:val="fr-FR"/>
        </w:rPr>
      </w:pPr>
      <w:r>
        <w:rPr>
          <w:rStyle w:val="Appelnotedebasdep"/>
        </w:rPr>
        <w:footnoteRef/>
      </w:r>
      <w:r w:rsidRPr="002C2F87">
        <w:rPr>
          <w:lang w:val="fr-FR"/>
        </w:rPr>
        <w:t xml:space="preserve"> Organisation des Nations Unies pour l’alimentation et l’agriculture, 2020, ‘</w:t>
      </w:r>
      <w:proofErr w:type="spellStart"/>
      <w:r>
        <w:fldChar w:fldCharType="begin"/>
      </w:r>
      <w:r w:rsidRPr="002C2F87">
        <w:rPr>
          <w:lang w:val="fr-FR"/>
        </w:rPr>
        <w:instrText xml:space="preserve"> HYPERLINK "http://www.fao.org/indigenous-peoples/covid-19/en/" </w:instrText>
      </w:r>
      <w:r>
        <w:fldChar w:fldCharType="separate"/>
      </w:r>
      <w:r w:rsidRPr="002C2F87">
        <w:rPr>
          <w:rStyle w:val="Lienhypertexte"/>
          <w:lang w:val="fr-FR"/>
        </w:rPr>
        <w:t>Indigenous</w:t>
      </w:r>
      <w:proofErr w:type="spellEnd"/>
      <w:r w:rsidRPr="002C2F87">
        <w:rPr>
          <w:rStyle w:val="Lienhypertexte"/>
          <w:lang w:val="fr-FR"/>
        </w:rPr>
        <w:t xml:space="preserve"> Peoples’ </w:t>
      </w:r>
      <w:proofErr w:type="spellStart"/>
      <w:r w:rsidRPr="002C2F87">
        <w:rPr>
          <w:rStyle w:val="Lienhypertexte"/>
          <w:lang w:val="fr-FR"/>
        </w:rPr>
        <w:t>Health</w:t>
      </w:r>
      <w:proofErr w:type="spellEnd"/>
      <w:r w:rsidRPr="002C2F87">
        <w:rPr>
          <w:rStyle w:val="Lienhypertexte"/>
          <w:lang w:val="fr-FR"/>
        </w:rPr>
        <w:t xml:space="preserve"> and </w:t>
      </w:r>
      <w:proofErr w:type="spellStart"/>
      <w:r w:rsidRPr="002C2F87">
        <w:rPr>
          <w:rStyle w:val="Lienhypertexte"/>
          <w:lang w:val="fr-FR"/>
        </w:rPr>
        <w:t>Safety</w:t>
      </w:r>
      <w:proofErr w:type="spellEnd"/>
      <w:r w:rsidRPr="002C2F87">
        <w:rPr>
          <w:rStyle w:val="Lienhypertexte"/>
          <w:lang w:val="fr-FR"/>
        </w:rPr>
        <w:t xml:space="preserve"> </w:t>
      </w:r>
      <w:proofErr w:type="spellStart"/>
      <w:r w:rsidRPr="002C2F87">
        <w:rPr>
          <w:rStyle w:val="Lienhypertexte"/>
          <w:lang w:val="fr-FR"/>
        </w:rPr>
        <w:t>at</w:t>
      </w:r>
      <w:proofErr w:type="spellEnd"/>
      <w:r w:rsidRPr="002C2F87">
        <w:rPr>
          <w:rStyle w:val="Lienhypertexte"/>
          <w:lang w:val="fr-FR"/>
        </w:rPr>
        <w:t xml:space="preserve"> </w:t>
      </w:r>
      <w:proofErr w:type="spellStart"/>
      <w:r w:rsidRPr="002C2F87">
        <w:rPr>
          <w:rStyle w:val="Lienhypertexte"/>
          <w:lang w:val="fr-FR"/>
        </w:rPr>
        <w:t>Risk</w:t>
      </w:r>
      <w:proofErr w:type="spellEnd"/>
      <w:r w:rsidRPr="002C2F87">
        <w:rPr>
          <w:rStyle w:val="Lienhypertexte"/>
          <w:lang w:val="fr-FR"/>
        </w:rPr>
        <w:t xml:space="preserve"> due to Coronavirus (COVID-19)</w:t>
      </w:r>
      <w:r>
        <w:rPr>
          <w:rStyle w:val="Lienhypertexte"/>
        </w:rPr>
        <w:fldChar w:fldCharType="end"/>
      </w:r>
      <w:r w:rsidRPr="002C2F87">
        <w:rPr>
          <w:lang w:val="fr-FR"/>
        </w:rPr>
        <w:t>’ et Département des Affaires Économiques et Sociales de l’ONU, 2020, ‘</w:t>
      </w:r>
      <w:proofErr w:type="spellStart"/>
      <w:r>
        <w:fldChar w:fldCharType="begin"/>
      </w:r>
      <w:r w:rsidRPr="002C2F87">
        <w:rPr>
          <w:lang w:val="fr-FR"/>
        </w:rPr>
        <w:instrText xml:space="preserve"> HYPERLINK "https://www.un.org/development/desa/indigenouspeoples/wp-content/uploads/sites/19/2020/04/COVID19_IP_considerations.pdf" </w:instrText>
      </w:r>
      <w:r>
        <w:fldChar w:fldCharType="separate"/>
      </w:r>
      <w:r w:rsidRPr="002C2F87">
        <w:rPr>
          <w:rStyle w:val="Lienhypertexte"/>
          <w:lang w:val="fr-FR"/>
        </w:rPr>
        <w:t>Indigenous</w:t>
      </w:r>
      <w:proofErr w:type="spellEnd"/>
      <w:r w:rsidRPr="002C2F87">
        <w:rPr>
          <w:rStyle w:val="Lienhypertexte"/>
          <w:lang w:val="fr-FR"/>
        </w:rPr>
        <w:t xml:space="preserve"> Peoples and the COVID-19 </w:t>
      </w:r>
      <w:proofErr w:type="spellStart"/>
      <w:r w:rsidRPr="002C2F87">
        <w:rPr>
          <w:rStyle w:val="Lienhypertexte"/>
          <w:lang w:val="fr-FR"/>
        </w:rPr>
        <w:t>Pandemic</w:t>
      </w:r>
      <w:proofErr w:type="spellEnd"/>
      <w:r w:rsidRPr="002C2F87">
        <w:rPr>
          <w:rStyle w:val="Lienhypertexte"/>
          <w:lang w:val="fr-FR"/>
        </w:rPr>
        <w:t xml:space="preserve">: </w:t>
      </w:r>
      <w:proofErr w:type="spellStart"/>
      <w:r w:rsidRPr="002C2F87">
        <w:rPr>
          <w:rStyle w:val="Lienhypertexte"/>
          <w:lang w:val="fr-FR"/>
        </w:rPr>
        <w:t>Considerations</w:t>
      </w:r>
      <w:proofErr w:type="spellEnd"/>
      <w:r>
        <w:rPr>
          <w:rStyle w:val="Lienhypertexte"/>
        </w:rPr>
        <w:fldChar w:fldCharType="end"/>
      </w:r>
      <w:r w:rsidRPr="002C2F87">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00" w:rsidRDefault="00DF32FF">
    <w:pPr>
      <w:pStyle w:val="En-tte"/>
      <w:rPr>
        <w:lang w:val="fr-FR" w:eastAsia="fr-FR"/>
      </w:rPr>
    </w:pPr>
    <w:r>
      <w:rPr>
        <w:noProof/>
        <w:lang w:val="fr-FR" w:eastAsia="fr-FR"/>
      </w:rPr>
      <w:drawing>
        <wp:anchor distT="0" distB="0" distL="114935" distR="114935" simplePos="0" relativeHeight="251659264" behindDoc="0" locked="0" layoutInCell="1" allowOverlap="1" wp14:anchorId="6DE6CBAD" wp14:editId="4A209DF7">
          <wp:simplePos x="0" y="0"/>
          <wp:positionH relativeFrom="margin">
            <wp:posOffset>-609600</wp:posOffset>
          </wp:positionH>
          <wp:positionV relativeFrom="margin">
            <wp:posOffset>-762000</wp:posOffset>
          </wp:positionV>
          <wp:extent cx="7223125" cy="1598930"/>
          <wp:effectExtent l="0" t="0" r="0" b="127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5989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413100" w:rsidRDefault="00DF32FF">
    <w:pPr>
      <w:pStyle w:val="En-tte"/>
    </w:pPr>
  </w:p>
  <w:p w:rsidR="00413100" w:rsidRDefault="00DF32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C47"/>
    <w:multiLevelType w:val="hybridMultilevel"/>
    <w:tmpl w:val="08E6B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305811"/>
    <w:multiLevelType w:val="hybridMultilevel"/>
    <w:tmpl w:val="9DF6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054352"/>
    <w:multiLevelType w:val="hybridMultilevel"/>
    <w:tmpl w:val="BC408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47539B"/>
    <w:multiLevelType w:val="hybridMultilevel"/>
    <w:tmpl w:val="5A9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4F92440"/>
    <w:multiLevelType w:val="hybridMultilevel"/>
    <w:tmpl w:val="147C4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22F5443"/>
    <w:multiLevelType w:val="hybridMultilevel"/>
    <w:tmpl w:val="99EA1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87"/>
    <w:rsid w:val="000412D7"/>
    <w:rsid w:val="001B232D"/>
    <w:rsid w:val="001B3BCA"/>
    <w:rsid w:val="002C2F87"/>
    <w:rsid w:val="00347338"/>
    <w:rsid w:val="0045755A"/>
    <w:rsid w:val="004F25CC"/>
    <w:rsid w:val="00693427"/>
    <w:rsid w:val="0072780D"/>
    <w:rsid w:val="00834179"/>
    <w:rsid w:val="00A77D2A"/>
    <w:rsid w:val="00DF32FF"/>
    <w:rsid w:val="00EB2942"/>
    <w:rsid w:val="00FD1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87"/>
    <w:pPr>
      <w:suppressAutoHyphens/>
    </w:pPr>
    <w:rPr>
      <w:rFonts w:ascii="Calibri" w:eastAsia="Calibri" w:hAnsi="Calibri" w:cs="Calibri"/>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C2F87"/>
    <w:rPr>
      <w:color w:val="000080"/>
      <w:u w:val="single"/>
    </w:rPr>
  </w:style>
  <w:style w:type="paragraph" w:styleId="En-tte">
    <w:name w:val="header"/>
    <w:basedOn w:val="Normal"/>
    <w:link w:val="En-tteCar"/>
    <w:rsid w:val="002C2F87"/>
    <w:pPr>
      <w:spacing w:after="0" w:line="240" w:lineRule="auto"/>
    </w:pPr>
  </w:style>
  <w:style w:type="character" w:customStyle="1" w:styleId="En-tteCar">
    <w:name w:val="En-tête Car"/>
    <w:basedOn w:val="Policepardfaut"/>
    <w:link w:val="En-tte"/>
    <w:rsid w:val="002C2F87"/>
    <w:rPr>
      <w:rFonts w:ascii="Calibri" w:eastAsia="Calibri" w:hAnsi="Calibri" w:cs="Calibri"/>
      <w:lang w:val="en-US" w:eastAsia="zh-CN"/>
    </w:rPr>
  </w:style>
  <w:style w:type="paragraph" w:styleId="Pieddepage">
    <w:name w:val="footer"/>
    <w:basedOn w:val="Normal"/>
    <w:link w:val="PieddepageCar"/>
    <w:rsid w:val="002C2F87"/>
    <w:pPr>
      <w:spacing w:after="0" w:line="240" w:lineRule="auto"/>
    </w:pPr>
  </w:style>
  <w:style w:type="character" w:customStyle="1" w:styleId="PieddepageCar">
    <w:name w:val="Pied de page Car"/>
    <w:basedOn w:val="Policepardfaut"/>
    <w:link w:val="Pieddepage"/>
    <w:rsid w:val="002C2F87"/>
    <w:rPr>
      <w:rFonts w:ascii="Calibri" w:eastAsia="Calibri" w:hAnsi="Calibri" w:cs="Calibri"/>
      <w:lang w:val="en-US" w:eastAsia="zh-CN"/>
    </w:rPr>
  </w:style>
  <w:style w:type="paragraph" w:styleId="Paragraphedeliste">
    <w:name w:val="List Paragraph"/>
    <w:basedOn w:val="Normal"/>
    <w:uiPriority w:val="34"/>
    <w:qFormat/>
    <w:rsid w:val="002C2F87"/>
    <w:pPr>
      <w:ind w:left="720"/>
      <w:contextualSpacing/>
    </w:pPr>
  </w:style>
  <w:style w:type="paragraph" w:styleId="Notedebasdepage">
    <w:name w:val="footnote text"/>
    <w:basedOn w:val="Normal"/>
    <w:link w:val="NotedebasdepageCar"/>
    <w:uiPriority w:val="99"/>
    <w:semiHidden/>
    <w:unhideWhenUsed/>
    <w:rsid w:val="002C2F87"/>
    <w:pPr>
      <w:suppressAutoHyphens w:val="0"/>
      <w:spacing w:after="0" w:line="240" w:lineRule="auto"/>
    </w:pPr>
    <w:rPr>
      <w:rFonts w:asciiTheme="minorHAnsi" w:eastAsiaTheme="minorHAnsi" w:hAnsiTheme="minorHAnsi" w:cstheme="minorBidi"/>
      <w:sz w:val="20"/>
      <w:szCs w:val="20"/>
      <w:lang w:val="en-GB" w:eastAsia="en-US"/>
    </w:rPr>
  </w:style>
  <w:style w:type="character" w:customStyle="1" w:styleId="NotedebasdepageCar">
    <w:name w:val="Note de bas de page Car"/>
    <w:basedOn w:val="Policepardfaut"/>
    <w:link w:val="Notedebasdepage"/>
    <w:uiPriority w:val="99"/>
    <w:semiHidden/>
    <w:rsid w:val="002C2F87"/>
    <w:rPr>
      <w:sz w:val="20"/>
      <w:szCs w:val="20"/>
      <w:lang w:val="en-GB"/>
    </w:rPr>
  </w:style>
  <w:style w:type="character" w:styleId="Appelnotedebasdep">
    <w:name w:val="footnote reference"/>
    <w:basedOn w:val="Policepardfaut"/>
    <w:uiPriority w:val="99"/>
    <w:semiHidden/>
    <w:unhideWhenUsed/>
    <w:rsid w:val="002C2F87"/>
    <w:rPr>
      <w:vertAlign w:val="superscript"/>
    </w:rPr>
  </w:style>
  <w:style w:type="paragraph" w:customStyle="1" w:styleId="Default">
    <w:name w:val="Default"/>
    <w:rsid w:val="002C2F8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87"/>
    <w:pPr>
      <w:suppressAutoHyphens/>
    </w:pPr>
    <w:rPr>
      <w:rFonts w:ascii="Calibri" w:eastAsia="Calibri" w:hAnsi="Calibri" w:cs="Calibri"/>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C2F87"/>
    <w:rPr>
      <w:color w:val="000080"/>
      <w:u w:val="single"/>
    </w:rPr>
  </w:style>
  <w:style w:type="paragraph" w:styleId="En-tte">
    <w:name w:val="header"/>
    <w:basedOn w:val="Normal"/>
    <w:link w:val="En-tteCar"/>
    <w:rsid w:val="002C2F87"/>
    <w:pPr>
      <w:spacing w:after="0" w:line="240" w:lineRule="auto"/>
    </w:pPr>
  </w:style>
  <w:style w:type="character" w:customStyle="1" w:styleId="En-tteCar">
    <w:name w:val="En-tête Car"/>
    <w:basedOn w:val="Policepardfaut"/>
    <w:link w:val="En-tte"/>
    <w:rsid w:val="002C2F87"/>
    <w:rPr>
      <w:rFonts w:ascii="Calibri" w:eastAsia="Calibri" w:hAnsi="Calibri" w:cs="Calibri"/>
      <w:lang w:val="en-US" w:eastAsia="zh-CN"/>
    </w:rPr>
  </w:style>
  <w:style w:type="paragraph" w:styleId="Pieddepage">
    <w:name w:val="footer"/>
    <w:basedOn w:val="Normal"/>
    <w:link w:val="PieddepageCar"/>
    <w:rsid w:val="002C2F87"/>
    <w:pPr>
      <w:spacing w:after="0" w:line="240" w:lineRule="auto"/>
    </w:pPr>
  </w:style>
  <w:style w:type="character" w:customStyle="1" w:styleId="PieddepageCar">
    <w:name w:val="Pied de page Car"/>
    <w:basedOn w:val="Policepardfaut"/>
    <w:link w:val="Pieddepage"/>
    <w:rsid w:val="002C2F87"/>
    <w:rPr>
      <w:rFonts w:ascii="Calibri" w:eastAsia="Calibri" w:hAnsi="Calibri" w:cs="Calibri"/>
      <w:lang w:val="en-US" w:eastAsia="zh-CN"/>
    </w:rPr>
  </w:style>
  <w:style w:type="paragraph" w:styleId="Paragraphedeliste">
    <w:name w:val="List Paragraph"/>
    <w:basedOn w:val="Normal"/>
    <w:uiPriority w:val="34"/>
    <w:qFormat/>
    <w:rsid w:val="002C2F87"/>
    <w:pPr>
      <w:ind w:left="720"/>
      <w:contextualSpacing/>
    </w:pPr>
  </w:style>
  <w:style w:type="paragraph" w:styleId="Notedebasdepage">
    <w:name w:val="footnote text"/>
    <w:basedOn w:val="Normal"/>
    <w:link w:val="NotedebasdepageCar"/>
    <w:uiPriority w:val="99"/>
    <w:semiHidden/>
    <w:unhideWhenUsed/>
    <w:rsid w:val="002C2F87"/>
    <w:pPr>
      <w:suppressAutoHyphens w:val="0"/>
      <w:spacing w:after="0" w:line="240" w:lineRule="auto"/>
    </w:pPr>
    <w:rPr>
      <w:rFonts w:asciiTheme="minorHAnsi" w:eastAsiaTheme="minorHAnsi" w:hAnsiTheme="minorHAnsi" w:cstheme="minorBidi"/>
      <w:sz w:val="20"/>
      <w:szCs w:val="20"/>
      <w:lang w:val="en-GB" w:eastAsia="en-US"/>
    </w:rPr>
  </w:style>
  <w:style w:type="character" w:customStyle="1" w:styleId="NotedebasdepageCar">
    <w:name w:val="Note de bas de page Car"/>
    <w:basedOn w:val="Policepardfaut"/>
    <w:link w:val="Notedebasdepage"/>
    <w:uiPriority w:val="99"/>
    <w:semiHidden/>
    <w:rsid w:val="002C2F87"/>
    <w:rPr>
      <w:sz w:val="20"/>
      <w:szCs w:val="20"/>
      <w:lang w:val="en-GB"/>
    </w:rPr>
  </w:style>
  <w:style w:type="character" w:styleId="Appelnotedebasdep">
    <w:name w:val="footnote reference"/>
    <w:basedOn w:val="Policepardfaut"/>
    <w:uiPriority w:val="99"/>
    <w:semiHidden/>
    <w:unhideWhenUsed/>
    <w:rsid w:val="002C2F87"/>
    <w:rPr>
      <w:vertAlign w:val="superscript"/>
    </w:rPr>
  </w:style>
  <w:style w:type="paragraph" w:customStyle="1" w:styleId="Default">
    <w:name w:val="Default"/>
    <w:rsid w:val="002C2F8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com/french-english/translation/sympt%C3%B4m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aidb-burundi.puz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950</Words>
  <Characters>5230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2020-04-24T20:45:00Z</cp:lastPrinted>
  <dcterms:created xsi:type="dcterms:W3CDTF">2020-04-24T20:45:00Z</dcterms:created>
  <dcterms:modified xsi:type="dcterms:W3CDTF">2020-04-24T21:09:00Z</dcterms:modified>
</cp:coreProperties>
</file>