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04" w:rsidRPr="00F23DC3" w:rsidRDefault="00C97A04" w:rsidP="00C97A04">
      <w:pPr>
        <w:jc w:val="both"/>
        <w:rPr>
          <w:lang w:val="en-GB"/>
        </w:rPr>
      </w:pPr>
    </w:p>
    <w:p w:rsidR="00C97A04" w:rsidRPr="00981CB8" w:rsidRDefault="00C97A04" w:rsidP="00C97A04">
      <w:pPr>
        <w:jc w:val="both"/>
        <w:rPr>
          <w:rFonts w:cs="Arial"/>
          <w:b/>
          <w:bCs/>
          <w:sz w:val="24"/>
          <w:lang w:val="en-GB"/>
        </w:rPr>
      </w:pPr>
      <w:r w:rsidRPr="00981CB8">
        <w:rPr>
          <w:rFonts w:cs="Arial"/>
          <w:b/>
          <w:bCs/>
          <w:sz w:val="24"/>
          <w:lang w:val="en-GB"/>
        </w:rPr>
        <w:t>COP 2018</w:t>
      </w:r>
    </w:p>
    <w:p w:rsidR="00C97A04" w:rsidRPr="00981CB8" w:rsidRDefault="00C97A04" w:rsidP="00C97A04">
      <w:pPr>
        <w:jc w:val="both"/>
        <w:rPr>
          <w:rFonts w:cs="Arial"/>
          <w:b/>
          <w:bCs/>
          <w:sz w:val="24"/>
          <w:lang w:val="en-GB"/>
        </w:rPr>
      </w:pPr>
      <w:r w:rsidRPr="00981CB8">
        <w:rPr>
          <w:rFonts w:cs="Arial"/>
          <w:b/>
          <w:bCs/>
          <w:sz w:val="24"/>
          <w:lang w:val="en-GB"/>
        </w:rPr>
        <w:t xml:space="preserve">Global Compact Annual Communication On Progress </w:t>
      </w:r>
    </w:p>
    <w:p w:rsidR="00D65BB5" w:rsidRPr="00981CB8" w:rsidRDefault="00D65BB5" w:rsidP="00C97A04">
      <w:pPr>
        <w:jc w:val="both"/>
        <w:rPr>
          <w:rFonts w:cs="Arial"/>
          <w:b/>
          <w:bCs/>
          <w:sz w:val="24"/>
          <w:lang w:val="en-GB"/>
        </w:rPr>
      </w:pPr>
      <w:r w:rsidRPr="00981CB8">
        <w:rPr>
          <w:rFonts w:cs="Arial"/>
          <w:b/>
          <w:bCs/>
          <w:sz w:val="24"/>
          <w:lang w:val="en-GB"/>
        </w:rPr>
        <w:t>CPH City &amp; Port Development</w:t>
      </w:r>
      <w:r w:rsidR="00B8035C" w:rsidRPr="00981CB8">
        <w:rPr>
          <w:rFonts w:cs="Arial"/>
          <w:b/>
          <w:bCs/>
          <w:sz w:val="24"/>
          <w:lang w:val="en-GB"/>
        </w:rPr>
        <w:t xml:space="preserve"> (CPH City &amp; Port Development)</w:t>
      </w:r>
    </w:p>
    <w:p w:rsidR="00C97A04" w:rsidRDefault="00C97A04" w:rsidP="00C97A04">
      <w:pPr>
        <w:jc w:val="both"/>
        <w:rPr>
          <w:lang w:val="en-GB"/>
        </w:rPr>
      </w:pPr>
    </w:p>
    <w:p w:rsidR="000B7D4C" w:rsidRDefault="000B7D4C" w:rsidP="00C97A04">
      <w:pPr>
        <w:jc w:val="both"/>
        <w:rPr>
          <w:lang w:val="en-GB"/>
        </w:rPr>
      </w:pPr>
    </w:p>
    <w:p w:rsidR="00B8035C" w:rsidRPr="00F23DC3" w:rsidRDefault="00B8035C" w:rsidP="00C97A04">
      <w:pPr>
        <w:jc w:val="both"/>
        <w:rPr>
          <w:lang w:val="en-GB"/>
        </w:rPr>
      </w:pPr>
    </w:p>
    <w:p w:rsidR="00C97A04" w:rsidRPr="00F23DC3" w:rsidRDefault="00C97A04" w:rsidP="00C97A04">
      <w:pPr>
        <w:jc w:val="both"/>
        <w:rPr>
          <w:rFonts w:cs="Arial"/>
          <w:b/>
          <w:sz w:val="24"/>
          <w:lang w:val="en-GB"/>
        </w:rPr>
      </w:pPr>
      <w:r w:rsidRPr="00F23DC3">
        <w:rPr>
          <w:rFonts w:cs="Arial"/>
          <w:b/>
          <w:bCs/>
          <w:sz w:val="24"/>
          <w:lang w:val="en-GB"/>
        </w:rPr>
        <w:t>Contents</w:t>
      </w:r>
    </w:p>
    <w:p w:rsidR="00C97A04" w:rsidRPr="00F23DC3" w:rsidRDefault="00C97A04" w:rsidP="00C97A04">
      <w:pPr>
        <w:jc w:val="both"/>
        <w:rPr>
          <w:lang w:val="en-GB"/>
        </w:rPr>
      </w:pPr>
    </w:p>
    <w:p w:rsidR="00C97A04" w:rsidRPr="00F23DC3" w:rsidRDefault="00C97A04" w:rsidP="00C97A04">
      <w:pPr>
        <w:jc w:val="both"/>
        <w:rPr>
          <w:lang w:val="en-GB"/>
        </w:rPr>
      </w:pPr>
    </w:p>
    <w:p w:rsidR="00C97A04" w:rsidRPr="00981CB8" w:rsidRDefault="00C3046D" w:rsidP="00C97A04">
      <w:pPr>
        <w:pStyle w:val="Indholdsfortegnelse1"/>
        <w:spacing w:before="0"/>
        <w:rPr>
          <w:rFonts w:asciiTheme="minorHAnsi" w:eastAsiaTheme="minorEastAsia" w:hAnsiTheme="minorHAnsi" w:cstheme="minorBidi"/>
          <w:b w:val="0"/>
          <w:noProof/>
          <w:sz w:val="22"/>
          <w:szCs w:val="22"/>
          <w:lang w:val="en-GB"/>
        </w:rPr>
      </w:pPr>
      <w:r w:rsidRPr="00981CB8">
        <w:rPr>
          <w:bCs/>
          <w:lang w:val="en-GB"/>
        </w:rPr>
        <w:fldChar w:fldCharType="begin"/>
      </w:r>
      <w:r w:rsidR="00C97A04" w:rsidRPr="00981CB8">
        <w:rPr>
          <w:lang w:val="en-GB"/>
        </w:rPr>
        <w:instrText xml:space="preserve"> TOC \o "1-2" \h \z \u </w:instrText>
      </w:r>
      <w:r w:rsidRPr="00981CB8">
        <w:rPr>
          <w:lang w:val="en-GB"/>
        </w:rPr>
        <w:fldChar w:fldCharType="separate"/>
      </w:r>
      <w:hyperlink w:anchor="_Toc507417365" w:history="1">
        <w:r w:rsidR="00D65BB5" w:rsidRPr="00981CB8">
          <w:rPr>
            <w:rStyle w:val="Hyperlink"/>
            <w:b w:val="0"/>
            <w:noProof/>
            <w:lang w:val="en-GB"/>
          </w:rPr>
          <w:t>A</w:t>
        </w:r>
        <w:r w:rsidR="00B8035C" w:rsidRPr="00981CB8">
          <w:rPr>
            <w:rStyle w:val="Hyperlink"/>
            <w:b w:val="0"/>
            <w:noProof/>
            <w:lang w:val="en-GB"/>
          </w:rPr>
          <w:t>bout CPH City &amp; Port Development</w:t>
        </w:r>
        <w:r w:rsidR="00C97A04" w:rsidRPr="00981CB8">
          <w:rPr>
            <w:b w:val="0"/>
            <w:noProof/>
            <w:webHidden/>
            <w:lang w:val="en-GB"/>
          </w:rPr>
          <w:tab/>
        </w:r>
        <w:r w:rsidRPr="00981CB8">
          <w:rPr>
            <w:b w:val="0"/>
            <w:noProof/>
            <w:webHidden/>
            <w:lang w:val="en-GB"/>
          </w:rPr>
          <w:fldChar w:fldCharType="begin"/>
        </w:r>
        <w:r w:rsidR="00C97A04" w:rsidRPr="00981CB8">
          <w:rPr>
            <w:b w:val="0"/>
            <w:noProof/>
            <w:webHidden/>
            <w:lang w:val="en-GB"/>
          </w:rPr>
          <w:instrText xml:space="preserve"> PAGEREF _Toc507417365 \h </w:instrText>
        </w:r>
        <w:r w:rsidRPr="00981CB8">
          <w:rPr>
            <w:b w:val="0"/>
            <w:noProof/>
            <w:webHidden/>
            <w:lang w:val="en-GB"/>
          </w:rPr>
        </w:r>
        <w:r w:rsidRPr="00981CB8">
          <w:rPr>
            <w:b w:val="0"/>
            <w:noProof/>
            <w:webHidden/>
            <w:lang w:val="en-GB"/>
          </w:rPr>
          <w:fldChar w:fldCharType="separate"/>
        </w:r>
        <w:r w:rsidR="00C97A04" w:rsidRPr="00981CB8">
          <w:rPr>
            <w:b w:val="0"/>
            <w:noProof/>
            <w:webHidden/>
            <w:lang w:val="en-GB"/>
          </w:rPr>
          <w:t>2</w:t>
        </w:r>
        <w:r w:rsidRPr="00981CB8">
          <w:rPr>
            <w:b w:val="0"/>
            <w:noProof/>
            <w:webHidden/>
            <w:lang w:val="en-GB"/>
          </w:rPr>
          <w:fldChar w:fldCharType="end"/>
        </w:r>
      </w:hyperlink>
    </w:p>
    <w:p w:rsidR="00C97A04" w:rsidRPr="00981CB8" w:rsidRDefault="008229A4" w:rsidP="00C97A04">
      <w:pPr>
        <w:pStyle w:val="Indholdsfortegnelse1"/>
        <w:tabs>
          <w:tab w:val="left" w:pos="440"/>
        </w:tabs>
        <w:rPr>
          <w:rFonts w:asciiTheme="minorHAnsi" w:eastAsiaTheme="minorEastAsia" w:hAnsiTheme="minorHAnsi" w:cstheme="minorBidi"/>
          <w:b w:val="0"/>
          <w:noProof/>
          <w:sz w:val="22"/>
          <w:szCs w:val="22"/>
          <w:lang w:val="en-GB"/>
        </w:rPr>
      </w:pPr>
      <w:hyperlink w:anchor="_Toc507417366" w:history="1">
        <w:r w:rsidR="00864512" w:rsidRPr="00981CB8">
          <w:rPr>
            <w:rStyle w:val="Hyperlink"/>
            <w:b w:val="0"/>
            <w:noProof/>
            <w:lang w:val="en-GB"/>
          </w:rPr>
          <w:t>1</w:t>
        </w:r>
        <w:r w:rsidR="00864512" w:rsidRPr="00981CB8">
          <w:rPr>
            <w:rFonts w:asciiTheme="minorHAnsi" w:eastAsiaTheme="minorEastAsia" w:hAnsiTheme="minorHAnsi" w:cstheme="minorBidi"/>
            <w:b w:val="0"/>
            <w:noProof/>
            <w:sz w:val="22"/>
            <w:szCs w:val="22"/>
            <w:lang w:val="en-GB"/>
          </w:rPr>
          <w:tab/>
        </w:r>
        <w:r w:rsidR="00B8035C" w:rsidRPr="00981CB8">
          <w:rPr>
            <w:rStyle w:val="Hyperlink"/>
            <w:b w:val="0"/>
          </w:rPr>
          <w:t>Statement of Continued Support for the UNU Global Compast</w:t>
        </w:r>
        <w:r w:rsidR="00864512" w:rsidRPr="00981CB8">
          <w:rPr>
            <w:b w:val="0"/>
            <w:noProof/>
            <w:webHidden/>
            <w:lang w:val="en-GB"/>
          </w:rPr>
          <w:tab/>
        </w:r>
        <w:r w:rsidR="00C3046D" w:rsidRPr="00981CB8">
          <w:rPr>
            <w:b w:val="0"/>
            <w:noProof/>
            <w:webHidden/>
            <w:lang w:val="en-GB"/>
          </w:rPr>
          <w:fldChar w:fldCharType="begin"/>
        </w:r>
        <w:r w:rsidR="00864512" w:rsidRPr="00981CB8">
          <w:rPr>
            <w:b w:val="0"/>
            <w:noProof/>
            <w:webHidden/>
            <w:lang w:val="en-GB"/>
          </w:rPr>
          <w:instrText xml:space="preserve"> PAGEREF _Toc507417366 \h </w:instrText>
        </w:r>
        <w:r w:rsidR="00C3046D" w:rsidRPr="00981CB8">
          <w:rPr>
            <w:b w:val="0"/>
            <w:noProof/>
            <w:webHidden/>
            <w:lang w:val="en-GB"/>
          </w:rPr>
        </w:r>
        <w:r w:rsidR="00C3046D" w:rsidRPr="00981CB8">
          <w:rPr>
            <w:b w:val="0"/>
            <w:noProof/>
            <w:webHidden/>
            <w:lang w:val="en-GB"/>
          </w:rPr>
          <w:fldChar w:fldCharType="separate"/>
        </w:r>
        <w:r w:rsidR="00864512" w:rsidRPr="00981CB8">
          <w:rPr>
            <w:b w:val="0"/>
            <w:noProof/>
            <w:webHidden/>
            <w:lang w:val="en-GB"/>
          </w:rPr>
          <w:t>3</w:t>
        </w:r>
        <w:r w:rsidR="00C3046D" w:rsidRPr="00981CB8">
          <w:rPr>
            <w:b w:val="0"/>
            <w:noProof/>
            <w:webHidden/>
            <w:lang w:val="en-GB"/>
          </w:rPr>
          <w:fldChar w:fldCharType="end"/>
        </w:r>
      </w:hyperlink>
    </w:p>
    <w:p w:rsidR="00C97A04" w:rsidRPr="00981CB8" w:rsidRDefault="008229A4" w:rsidP="00C97A04">
      <w:pPr>
        <w:pStyle w:val="Indholdsfortegnelse1"/>
        <w:tabs>
          <w:tab w:val="left" w:pos="440"/>
        </w:tabs>
        <w:rPr>
          <w:rFonts w:asciiTheme="minorHAnsi" w:eastAsiaTheme="minorEastAsia" w:hAnsiTheme="minorHAnsi" w:cstheme="minorBidi"/>
          <w:b w:val="0"/>
          <w:noProof/>
          <w:sz w:val="22"/>
          <w:szCs w:val="22"/>
          <w:lang w:val="en-GB"/>
        </w:rPr>
      </w:pPr>
      <w:hyperlink w:anchor="_Toc507417367" w:history="1">
        <w:r w:rsidR="00864512" w:rsidRPr="00981CB8">
          <w:rPr>
            <w:rStyle w:val="Hyperlink"/>
            <w:b w:val="0"/>
            <w:noProof/>
            <w:lang w:val="en-GB"/>
          </w:rPr>
          <w:t>2</w:t>
        </w:r>
        <w:r w:rsidR="00864512" w:rsidRPr="00981CB8">
          <w:rPr>
            <w:rFonts w:asciiTheme="minorHAnsi" w:eastAsiaTheme="minorEastAsia" w:hAnsiTheme="minorHAnsi" w:cstheme="minorBidi"/>
            <w:b w:val="0"/>
            <w:noProof/>
            <w:sz w:val="22"/>
            <w:szCs w:val="22"/>
            <w:lang w:val="en-GB"/>
          </w:rPr>
          <w:tab/>
        </w:r>
        <w:r w:rsidR="00217A3B" w:rsidRPr="00981CB8">
          <w:rPr>
            <w:rStyle w:val="Hyperlink"/>
            <w:b w:val="0"/>
          </w:rPr>
          <w:t>Activities and results</w:t>
        </w:r>
        <w:r w:rsidR="00864512" w:rsidRPr="00981CB8">
          <w:rPr>
            <w:b w:val="0"/>
            <w:noProof/>
            <w:webHidden/>
            <w:lang w:val="en-GB"/>
          </w:rPr>
          <w:tab/>
        </w:r>
        <w:r w:rsidR="00C3046D" w:rsidRPr="00981CB8">
          <w:rPr>
            <w:b w:val="0"/>
            <w:noProof/>
            <w:webHidden/>
            <w:lang w:val="en-GB"/>
          </w:rPr>
          <w:fldChar w:fldCharType="begin"/>
        </w:r>
        <w:r w:rsidR="00864512" w:rsidRPr="00981CB8">
          <w:rPr>
            <w:b w:val="0"/>
            <w:noProof/>
            <w:webHidden/>
            <w:lang w:val="en-GB"/>
          </w:rPr>
          <w:instrText xml:space="preserve"> PAGEREF _Toc507417367 \h </w:instrText>
        </w:r>
        <w:r w:rsidR="00C3046D" w:rsidRPr="00981CB8">
          <w:rPr>
            <w:b w:val="0"/>
            <w:noProof/>
            <w:webHidden/>
            <w:lang w:val="en-GB"/>
          </w:rPr>
        </w:r>
        <w:r w:rsidR="00C3046D" w:rsidRPr="00981CB8">
          <w:rPr>
            <w:b w:val="0"/>
            <w:noProof/>
            <w:webHidden/>
            <w:lang w:val="en-GB"/>
          </w:rPr>
          <w:fldChar w:fldCharType="separate"/>
        </w:r>
        <w:r w:rsidR="00864512" w:rsidRPr="00981CB8">
          <w:rPr>
            <w:b w:val="0"/>
            <w:noProof/>
            <w:webHidden/>
            <w:lang w:val="en-GB"/>
          </w:rPr>
          <w:t>4</w:t>
        </w:r>
        <w:r w:rsidR="00C3046D" w:rsidRPr="00981CB8">
          <w:rPr>
            <w:b w:val="0"/>
            <w:noProof/>
            <w:webHidden/>
            <w:lang w:val="en-GB"/>
          </w:rPr>
          <w:fldChar w:fldCharType="end"/>
        </w:r>
      </w:hyperlink>
    </w:p>
    <w:p w:rsidR="00C97A04" w:rsidRPr="00981CB8" w:rsidRDefault="008229A4" w:rsidP="00C97A04">
      <w:pPr>
        <w:pStyle w:val="Indholdsfortegnelse2"/>
        <w:tabs>
          <w:tab w:val="left" w:pos="880"/>
        </w:tabs>
        <w:rPr>
          <w:rFonts w:asciiTheme="minorHAnsi" w:eastAsiaTheme="minorEastAsia" w:hAnsiTheme="minorHAnsi" w:cstheme="minorBidi"/>
          <w:noProof/>
          <w:sz w:val="22"/>
          <w:szCs w:val="22"/>
          <w:lang w:val="en-GB"/>
        </w:rPr>
      </w:pPr>
      <w:hyperlink w:anchor="_Toc507417368" w:history="1">
        <w:r w:rsidR="00864512" w:rsidRPr="00981CB8">
          <w:rPr>
            <w:rStyle w:val="Hyperlink"/>
            <w:noProof/>
            <w:lang w:val="en-GB"/>
          </w:rPr>
          <w:t>2.1</w:t>
        </w:r>
        <w:r w:rsidR="00864512" w:rsidRPr="00981CB8">
          <w:rPr>
            <w:rFonts w:asciiTheme="minorHAnsi" w:eastAsiaTheme="minorEastAsia" w:hAnsiTheme="minorHAnsi" w:cstheme="minorBidi"/>
            <w:noProof/>
            <w:sz w:val="22"/>
            <w:szCs w:val="22"/>
            <w:lang w:val="en-GB"/>
          </w:rPr>
          <w:tab/>
        </w:r>
        <w:r w:rsidR="00055405" w:rsidRPr="00981CB8">
          <w:rPr>
            <w:rStyle w:val="Hyperlink"/>
          </w:rPr>
          <w:t>Focus on human rights, l</w:t>
        </w:r>
        <w:r w:rsidR="00006714" w:rsidRPr="00981CB8">
          <w:rPr>
            <w:rStyle w:val="Hyperlink"/>
          </w:rPr>
          <w:t xml:space="preserve">aour rights and anti-corruption </w:t>
        </w:r>
        <w:r w:rsidR="00055405" w:rsidRPr="00981CB8">
          <w:rPr>
            <w:rStyle w:val="Hyperlink"/>
          </w:rPr>
          <w:t xml:space="preserve">(principles 1, </w:t>
        </w:r>
        <w:r w:rsidR="00006714" w:rsidRPr="00981CB8">
          <w:rPr>
            <w:rStyle w:val="Hyperlink"/>
          </w:rPr>
          <w:t>6, 10)</w:t>
        </w:r>
        <w:r w:rsidR="00864512" w:rsidRPr="00981CB8">
          <w:rPr>
            <w:noProof/>
            <w:webHidden/>
            <w:lang w:val="en-GB"/>
          </w:rPr>
          <w:tab/>
        </w:r>
        <w:r w:rsidR="00C3046D" w:rsidRPr="00981CB8">
          <w:rPr>
            <w:noProof/>
            <w:webHidden/>
            <w:lang w:val="en-GB"/>
          </w:rPr>
          <w:fldChar w:fldCharType="begin"/>
        </w:r>
        <w:r w:rsidR="00864512" w:rsidRPr="00981CB8">
          <w:rPr>
            <w:noProof/>
            <w:webHidden/>
            <w:lang w:val="en-GB"/>
          </w:rPr>
          <w:instrText xml:space="preserve"> PAGEREF _Toc507417368 \h </w:instrText>
        </w:r>
        <w:r w:rsidR="00C3046D" w:rsidRPr="00981CB8">
          <w:rPr>
            <w:noProof/>
            <w:webHidden/>
            <w:lang w:val="en-GB"/>
          </w:rPr>
        </w:r>
        <w:r w:rsidR="00C3046D" w:rsidRPr="00981CB8">
          <w:rPr>
            <w:noProof/>
            <w:webHidden/>
            <w:lang w:val="en-GB"/>
          </w:rPr>
          <w:fldChar w:fldCharType="separate"/>
        </w:r>
        <w:r w:rsidR="00864512" w:rsidRPr="00981CB8">
          <w:rPr>
            <w:noProof/>
            <w:webHidden/>
            <w:lang w:val="en-GB"/>
          </w:rPr>
          <w:t>4</w:t>
        </w:r>
        <w:r w:rsidR="00C3046D" w:rsidRPr="00981CB8">
          <w:rPr>
            <w:noProof/>
            <w:webHidden/>
            <w:lang w:val="en-GB"/>
          </w:rPr>
          <w:fldChar w:fldCharType="end"/>
        </w:r>
      </w:hyperlink>
    </w:p>
    <w:p w:rsidR="00C97A04" w:rsidRPr="00981CB8" w:rsidRDefault="008229A4" w:rsidP="00C97A04">
      <w:pPr>
        <w:pStyle w:val="Indholdsfortegnelse2"/>
        <w:tabs>
          <w:tab w:val="left" w:pos="880"/>
        </w:tabs>
        <w:rPr>
          <w:rFonts w:asciiTheme="minorHAnsi" w:eastAsiaTheme="minorEastAsia" w:hAnsiTheme="minorHAnsi" w:cstheme="minorBidi"/>
          <w:noProof/>
          <w:sz w:val="22"/>
          <w:szCs w:val="22"/>
          <w:lang w:val="en-GB"/>
        </w:rPr>
      </w:pPr>
      <w:hyperlink w:anchor="_Toc507417369" w:history="1">
        <w:r w:rsidR="00864512" w:rsidRPr="00981CB8">
          <w:rPr>
            <w:rStyle w:val="Hyperlink"/>
            <w:noProof/>
            <w:lang w:val="en-GB"/>
          </w:rPr>
          <w:t>2.2</w:t>
        </w:r>
        <w:r w:rsidR="00864512" w:rsidRPr="00981CB8">
          <w:rPr>
            <w:rFonts w:asciiTheme="minorHAnsi" w:eastAsiaTheme="minorEastAsia" w:hAnsiTheme="minorHAnsi" w:cstheme="minorBidi"/>
            <w:noProof/>
            <w:sz w:val="22"/>
            <w:szCs w:val="22"/>
            <w:lang w:val="en-GB"/>
          </w:rPr>
          <w:tab/>
        </w:r>
        <w:r w:rsidR="00006714" w:rsidRPr="00981CB8">
          <w:rPr>
            <w:rStyle w:val="Hyperlink"/>
            <w:noProof/>
            <w:lang w:val="en-GB"/>
          </w:rPr>
          <w:t>Focus on the environment (principles 7-9)</w:t>
        </w:r>
        <w:r w:rsidR="00864512" w:rsidRPr="00981CB8">
          <w:rPr>
            <w:noProof/>
            <w:webHidden/>
            <w:lang w:val="en-GB"/>
          </w:rPr>
          <w:tab/>
        </w:r>
        <w:r w:rsidR="00C3046D" w:rsidRPr="00981CB8">
          <w:rPr>
            <w:noProof/>
            <w:webHidden/>
            <w:lang w:val="en-GB"/>
          </w:rPr>
          <w:fldChar w:fldCharType="begin"/>
        </w:r>
        <w:r w:rsidR="00864512" w:rsidRPr="00981CB8">
          <w:rPr>
            <w:noProof/>
            <w:webHidden/>
            <w:lang w:val="en-GB"/>
          </w:rPr>
          <w:instrText xml:space="preserve"> PAGEREF _Toc507417369 \h </w:instrText>
        </w:r>
        <w:r w:rsidR="00C3046D" w:rsidRPr="00981CB8">
          <w:rPr>
            <w:noProof/>
            <w:webHidden/>
            <w:lang w:val="en-GB"/>
          </w:rPr>
        </w:r>
        <w:r w:rsidR="00C3046D" w:rsidRPr="00981CB8">
          <w:rPr>
            <w:noProof/>
            <w:webHidden/>
            <w:lang w:val="en-GB"/>
          </w:rPr>
          <w:fldChar w:fldCharType="separate"/>
        </w:r>
        <w:r w:rsidR="00864512" w:rsidRPr="00981CB8">
          <w:rPr>
            <w:noProof/>
            <w:webHidden/>
            <w:lang w:val="en-GB"/>
          </w:rPr>
          <w:t>8</w:t>
        </w:r>
        <w:r w:rsidR="00C3046D" w:rsidRPr="00981CB8">
          <w:rPr>
            <w:noProof/>
            <w:webHidden/>
            <w:lang w:val="en-GB"/>
          </w:rPr>
          <w:fldChar w:fldCharType="end"/>
        </w:r>
      </w:hyperlink>
    </w:p>
    <w:p w:rsidR="00C97A04" w:rsidRPr="00981CB8" w:rsidRDefault="008229A4" w:rsidP="00C97A04">
      <w:pPr>
        <w:pStyle w:val="Indholdsfortegnelse1"/>
        <w:tabs>
          <w:tab w:val="left" w:pos="440"/>
        </w:tabs>
        <w:rPr>
          <w:rFonts w:asciiTheme="minorHAnsi" w:eastAsiaTheme="minorEastAsia" w:hAnsiTheme="minorHAnsi" w:cstheme="minorBidi"/>
          <w:b w:val="0"/>
          <w:noProof/>
          <w:sz w:val="22"/>
          <w:szCs w:val="22"/>
          <w:lang w:val="en-GB"/>
        </w:rPr>
      </w:pPr>
      <w:hyperlink w:anchor="_Toc507417370" w:history="1">
        <w:r w:rsidR="00864512" w:rsidRPr="00981CB8">
          <w:rPr>
            <w:rStyle w:val="Hyperlink"/>
            <w:b w:val="0"/>
            <w:noProof/>
            <w:lang w:val="en-GB"/>
          </w:rPr>
          <w:t>3</w:t>
        </w:r>
        <w:r w:rsidR="00864512" w:rsidRPr="00981CB8">
          <w:rPr>
            <w:rFonts w:asciiTheme="minorHAnsi" w:eastAsiaTheme="minorEastAsia" w:hAnsiTheme="minorHAnsi" w:cstheme="minorBidi"/>
            <w:b w:val="0"/>
            <w:noProof/>
            <w:sz w:val="22"/>
            <w:szCs w:val="22"/>
            <w:lang w:val="en-GB"/>
          </w:rPr>
          <w:tab/>
        </w:r>
        <w:r w:rsidR="000B7D4C" w:rsidRPr="00981CB8">
          <w:rPr>
            <w:rFonts w:asciiTheme="minorHAnsi" w:eastAsiaTheme="minorEastAsia" w:hAnsiTheme="minorHAnsi" w:cstheme="minorBidi"/>
            <w:b w:val="0"/>
            <w:noProof/>
            <w:sz w:val="22"/>
            <w:szCs w:val="22"/>
            <w:lang w:val="en-GB"/>
          </w:rPr>
          <w:t xml:space="preserve">Multiplication of CPH City </w:t>
        </w:r>
        <w:r w:rsidR="00981CB8" w:rsidRPr="00981CB8">
          <w:rPr>
            <w:rFonts w:asciiTheme="minorHAnsi" w:eastAsiaTheme="minorEastAsia" w:hAnsiTheme="minorHAnsi" w:cstheme="minorBidi"/>
            <w:b w:val="0"/>
            <w:noProof/>
            <w:sz w:val="22"/>
            <w:szCs w:val="22"/>
            <w:lang w:val="en-GB"/>
          </w:rPr>
          <w:t>&amp; Port Development’s COP</w:t>
        </w:r>
        <w:r w:rsidR="00864512" w:rsidRPr="00981CB8">
          <w:rPr>
            <w:b w:val="0"/>
            <w:noProof/>
            <w:webHidden/>
            <w:lang w:val="en-GB"/>
          </w:rPr>
          <w:tab/>
        </w:r>
        <w:r w:rsidR="00C3046D" w:rsidRPr="00981CB8">
          <w:rPr>
            <w:b w:val="0"/>
            <w:noProof/>
            <w:webHidden/>
            <w:lang w:val="en-GB"/>
          </w:rPr>
          <w:fldChar w:fldCharType="begin"/>
        </w:r>
        <w:r w:rsidR="00864512" w:rsidRPr="00981CB8">
          <w:rPr>
            <w:b w:val="0"/>
            <w:noProof/>
            <w:webHidden/>
            <w:lang w:val="en-GB"/>
          </w:rPr>
          <w:instrText xml:space="preserve"> PAGEREF _Toc507417370 \h </w:instrText>
        </w:r>
        <w:r w:rsidR="00C3046D" w:rsidRPr="00981CB8">
          <w:rPr>
            <w:b w:val="0"/>
            <w:noProof/>
            <w:webHidden/>
            <w:lang w:val="en-GB"/>
          </w:rPr>
        </w:r>
        <w:r w:rsidR="00C3046D" w:rsidRPr="00981CB8">
          <w:rPr>
            <w:b w:val="0"/>
            <w:noProof/>
            <w:webHidden/>
            <w:lang w:val="en-GB"/>
          </w:rPr>
          <w:fldChar w:fldCharType="separate"/>
        </w:r>
        <w:r w:rsidR="00864512" w:rsidRPr="00981CB8">
          <w:rPr>
            <w:b w:val="0"/>
            <w:noProof/>
            <w:webHidden/>
            <w:lang w:val="en-GB"/>
          </w:rPr>
          <w:t>1</w:t>
        </w:r>
        <w:r w:rsidR="00C3046D" w:rsidRPr="00981CB8">
          <w:rPr>
            <w:b w:val="0"/>
            <w:noProof/>
            <w:webHidden/>
            <w:lang w:val="en-GB"/>
          </w:rPr>
          <w:fldChar w:fldCharType="end"/>
        </w:r>
      </w:hyperlink>
      <w:r w:rsidR="00981CB8">
        <w:rPr>
          <w:b w:val="0"/>
          <w:noProof/>
          <w:lang w:val="en-GB"/>
        </w:rPr>
        <w:t>3</w:t>
      </w:r>
    </w:p>
    <w:p w:rsidR="00C97A04" w:rsidRPr="00F23DC3" w:rsidRDefault="00C3046D" w:rsidP="00C97A04">
      <w:pPr>
        <w:jc w:val="both"/>
        <w:rPr>
          <w:lang w:val="en-GB"/>
        </w:rPr>
      </w:pPr>
      <w:r w:rsidRPr="00981CB8">
        <w:rPr>
          <w:lang w:val="en-GB"/>
        </w:rPr>
        <w:fldChar w:fldCharType="end"/>
      </w:r>
    </w:p>
    <w:p w:rsidR="00C97A04" w:rsidRPr="00F23DC3" w:rsidRDefault="00C97A04" w:rsidP="00C97A04">
      <w:pPr>
        <w:rPr>
          <w:rFonts w:cs="Arial"/>
          <w:b/>
          <w:bCs/>
          <w:sz w:val="24"/>
          <w:szCs w:val="32"/>
          <w:lang w:val="en-GB"/>
        </w:rPr>
      </w:pPr>
      <w:bookmarkStart w:id="0" w:name="_Toc380587562"/>
      <w:bookmarkStart w:id="1" w:name="_Toc381103213"/>
      <w:bookmarkStart w:id="2" w:name="_Toc380587079"/>
      <w:r w:rsidRPr="00F23DC3">
        <w:rPr>
          <w:lang w:val="en-GB"/>
        </w:rPr>
        <w:br w:type="page"/>
      </w:r>
    </w:p>
    <w:p w:rsidR="00C97A04" w:rsidRPr="00F23DC3" w:rsidRDefault="00C97A04" w:rsidP="00C97A04">
      <w:pPr>
        <w:pStyle w:val="Overskrift1"/>
        <w:numPr>
          <w:ilvl w:val="0"/>
          <w:numId w:val="0"/>
        </w:numPr>
        <w:spacing w:after="0"/>
        <w:ind w:left="432" w:hanging="432"/>
        <w:jc w:val="both"/>
        <w:rPr>
          <w:lang w:val="en-GB"/>
        </w:rPr>
      </w:pPr>
      <w:bookmarkStart w:id="3" w:name="_Toc381345867"/>
      <w:bookmarkStart w:id="4" w:name="_Toc507417365"/>
      <w:r w:rsidRPr="00F23DC3">
        <w:rPr>
          <w:lang w:val="en-GB"/>
        </w:rPr>
        <w:lastRenderedPageBreak/>
        <w:t xml:space="preserve">About </w:t>
      </w:r>
      <w:bookmarkEnd w:id="0"/>
      <w:bookmarkEnd w:id="1"/>
      <w:bookmarkEnd w:id="2"/>
      <w:bookmarkEnd w:id="3"/>
      <w:bookmarkEnd w:id="4"/>
      <w:r w:rsidR="00D65BB5">
        <w:rPr>
          <w:lang w:val="en-GB"/>
        </w:rPr>
        <w:t>CPH City &amp; Port Development</w:t>
      </w:r>
    </w:p>
    <w:p w:rsidR="00C97A04" w:rsidRPr="00F23DC3" w:rsidRDefault="00C97A04" w:rsidP="00C97A04">
      <w:pPr>
        <w:jc w:val="both"/>
        <w:rPr>
          <w:b/>
          <w:lang w:val="en-GB"/>
        </w:rPr>
      </w:pPr>
    </w:p>
    <w:p w:rsidR="00C97A04" w:rsidRPr="00F23DC3" w:rsidRDefault="00C97A04" w:rsidP="00C97A04">
      <w:pPr>
        <w:jc w:val="both"/>
        <w:rPr>
          <w:b/>
          <w:lang w:val="en-GB"/>
        </w:rPr>
      </w:pPr>
    </w:p>
    <w:p w:rsidR="00C97A04" w:rsidRPr="00F23DC3" w:rsidRDefault="00C97A04" w:rsidP="00C97A04">
      <w:pPr>
        <w:jc w:val="both"/>
        <w:rPr>
          <w:b/>
          <w:lang w:val="en-GB"/>
        </w:rPr>
      </w:pPr>
      <w:r w:rsidRPr="00F23DC3">
        <w:rPr>
          <w:b/>
          <w:bCs/>
          <w:lang w:val="en-GB"/>
        </w:rPr>
        <w:t>COP 2018</w:t>
      </w:r>
    </w:p>
    <w:p w:rsidR="00C97A04" w:rsidRPr="00F23DC3" w:rsidRDefault="00C97A04" w:rsidP="00C97A04">
      <w:pPr>
        <w:jc w:val="both"/>
        <w:rPr>
          <w:b/>
          <w:lang w:val="en-GB"/>
        </w:rPr>
      </w:pPr>
      <w:r w:rsidRPr="00F23DC3">
        <w:rPr>
          <w:b/>
          <w:bCs/>
          <w:lang w:val="en-GB"/>
        </w:rPr>
        <w:t xml:space="preserve">Global Compact Annual Communication On Progress </w:t>
      </w:r>
    </w:p>
    <w:p w:rsidR="00C97A04" w:rsidRPr="00F23DC3" w:rsidRDefault="00C97A04" w:rsidP="00C97A04">
      <w:pPr>
        <w:jc w:val="both"/>
        <w:rPr>
          <w:lang w:val="en-GB"/>
        </w:rPr>
      </w:pPr>
      <w:r w:rsidRPr="00F23DC3">
        <w:rPr>
          <w:lang w:val="en-GB"/>
        </w:rPr>
        <w:t>(English version)</w:t>
      </w:r>
    </w:p>
    <w:p w:rsidR="00C97A04" w:rsidRPr="00F23DC3" w:rsidRDefault="00C97A04" w:rsidP="00C97A04">
      <w:pPr>
        <w:jc w:val="both"/>
        <w:rPr>
          <w:b/>
          <w:lang w:val="en-GB"/>
        </w:rPr>
      </w:pPr>
    </w:p>
    <w:p w:rsidR="00C97A04" w:rsidRDefault="00C97A04" w:rsidP="00C97A04">
      <w:pPr>
        <w:jc w:val="both"/>
        <w:rPr>
          <w:lang w:val="en-GB"/>
        </w:rPr>
      </w:pPr>
      <w:r w:rsidRPr="00F23DC3">
        <w:rPr>
          <w:b/>
          <w:bCs/>
          <w:lang w:val="en-GB"/>
        </w:rPr>
        <w:t>Company name:</w:t>
      </w:r>
      <w:r w:rsidRPr="00F23DC3">
        <w:rPr>
          <w:lang w:val="en-GB"/>
        </w:rPr>
        <w:t xml:space="preserve"> </w:t>
      </w:r>
      <w:r w:rsidRPr="00F23DC3">
        <w:rPr>
          <w:lang w:val="en-GB"/>
        </w:rPr>
        <w:tab/>
        <w:t xml:space="preserve">Udviklingsselskabet </w:t>
      </w:r>
      <w:r w:rsidR="00B8035C">
        <w:rPr>
          <w:lang w:val="en-GB"/>
        </w:rPr>
        <w:t>CPH City &amp; Port Development</w:t>
      </w:r>
      <w:r w:rsidRPr="00F23DC3">
        <w:rPr>
          <w:lang w:val="en-GB"/>
        </w:rPr>
        <w:t xml:space="preserve"> I/S</w:t>
      </w:r>
    </w:p>
    <w:p w:rsidR="00D65BB5" w:rsidRPr="00F23DC3" w:rsidRDefault="00D65BB5" w:rsidP="00C97A04">
      <w:pPr>
        <w:jc w:val="both"/>
        <w:rPr>
          <w:lang w:val="en-GB"/>
        </w:rPr>
      </w:pPr>
      <w:r>
        <w:rPr>
          <w:lang w:val="en-GB"/>
        </w:rPr>
        <w:tab/>
      </w:r>
      <w:r>
        <w:rPr>
          <w:lang w:val="en-GB"/>
        </w:rPr>
        <w:tab/>
        <w:t>CPH City &amp; Port Development</w:t>
      </w:r>
    </w:p>
    <w:p w:rsidR="00C97A04" w:rsidRPr="00F23DC3" w:rsidRDefault="00C97A04" w:rsidP="00C97A04">
      <w:pPr>
        <w:jc w:val="both"/>
        <w:rPr>
          <w:b/>
          <w:lang w:val="en-GB"/>
        </w:rPr>
      </w:pPr>
    </w:p>
    <w:p w:rsidR="00C97A04" w:rsidRPr="00F23DC3" w:rsidRDefault="00C97A04" w:rsidP="00C97A04">
      <w:pPr>
        <w:jc w:val="both"/>
        <w:rPr>
          <w:lang w:val="en-GB"/>
        </w:rPr>
      </w:pPr>
      <w:r w:rsidRPr="00F23DC3">
        <w:rPr>
          <w:b/>
          <w:bCs/>
          <w:lang w:val="en-GB"/>
        </w:rPr>
        <w:t>Address:</w:t>
      </w:r>
      <w:r w:rsidRPr="00F23DC3">
        <w:rPr>
          <w:lang w:val="en-GB"/>
        </w:rPr>
        <w:tab/>
      </w:r>
      <w:r w:rsidRPr="00F23DC3">
        <w:rPr>
          <w:lang w:val="en-GB"/>
        </w:rPr>
        <w:tab/>
        <w:t>Nordre Toldbod 7</w:t>
      </w:r>
    </w:p>
    <w:p w:rsidR="00C97A04" w:rsidRPr="00F23DC3" w:rsidRDefault="00C97A04" w:rsidP="00C97A04">
      <w:pPr>
        <w:jc w:val="both"/>
        <w:rPr>
          <w:lang w:val="en-GB"/>
        </w:rPr>
      </w:pPr>
      <w:r w:rsidRPr="00F23DC3">
        <w:rPr>
          <w:lang w:val="en-GB"/>
        </w:rPr>
        <w:tab/>
      </w:r>
      <w:r w:rsidRPr="00F23DC3">
        <w:rPr>
          <w:lang w:val="en-GB"/>
        </w:rPr>
        <w:tab/>
        <w:t>1259 Copenhagen K, Denmark</w:t>
      </w:r>
    </w:p>
    <w:p w:rsidR="00C97A04" w:rsidRPr="00F23DC3" w:rsidRDefault="00C97A04" w:rsidP="00C97A04">
      <w:pPr>
        <w:jc w:val="both"/>
        <w:rPr>
          <w:b/>
          <w:lang w:val="en-GB"/>
        </w:rPr>
      </w:pPr>
    </w:p>
    <w:p w:rsidR="00C97A04" w:rsidRPr="00F23DC3" w:rsidRDefault="00C97A04" w:rsidP="00C97A04">
      <w:pPr>
        <w:jc w:val="both"/>
        <w:rPr>
          <w:lang w:val="en-GB"/>
        </w:rPr>
      </w:pPr>
      <w:r w:rsidRPr="00F23DC3">
        <w:rPr>
          <w:b/>
          <w:bCs/>
          <w:lang w:val="en-GB"/>
        </w:rPr>
        <w:t>Country:</w:t>
      </w:r>
      <w:r w:rsidRPr="00F23DC3">
        <w:rPr>
          <w:lang w:val="en-GB"/>
        </w:rPr>
        <w:tab/>
      </w:r>
      <w:r w:rsidRPr="00F23DC3">
        <w:rPr>
          <w:lang w:val="en-GB"/>
        </w:rPr>
        <w:tab/>
        <w:t>Denmark</w:t>
      </w:r>
    </w:p>
    <w:p w:rsidR="00C97A04" w:rsidRPr="00F23DC3" w:rsidRDefault="00C97A04" w:rsidP="00C97A04">
      <w:pPr>
        <w:jc w:val="both"/>
        <w:rPr>
          <w:b/>
          <w:lang w:val="en-GB"/>
        </w:rPr>
      </w:pPr>
    </w:p>
    <w:p w:rsidR="00C97A04" w:rsidRPr="00E95903" w:rsidRDefault="00C97A04" w:rsidP="00C97A04">
      <w:pPr>
        <w:jc w:val="both"/>
        <w:rPr>
          <w:lang w:val="fr-FR"/>
        </w:rPr>
      </w:pPr>
      <w:r w:rsidRPr="00E95903">
        <w:rPr>
          <w:b/>
          <w:bCs/>
          <w:lang w:val="fr-FR"/>
        </w:rPr>
        <w:t>Contact:</w:t>
      </w:r>
      <w:r w:rsidRPr="00E95903">
        <w:rPr>
          <w:lang w:val="fr-FR"/>
        </w:rPr>
        <w:tab/>
      </w:r>
      <w:r w:rsidR="00F23DC3" w:rsidRPr="00E95903">
        <w:rPr>
          <w:lang w:val="fr-FR"/>
        </w:rPr>
        <w:tab/>
      </w:r>
      <w:r w:rsidR="00E95903">
        <w:rPr>
          <w:lang w:val="fr-FR"/>
        </w:rPr>
        <w:t xml:space="preserve">Heidi Olsen </w:t>
      </w:r>
    </w:p>
    <w:p w:rsidR="00C97A04" w:rsidRPr="00E95903" w:rsidRDefault="00C97A04" w:rsidP="00C97A04">
      <w:pPr>
        <w:jc w:val="both"/>
        <w:rPr>
          <w:lang w:val="fr-FR"/>
        </w:rPr>
      </w:pPr>
      <w:r w:rsidRPr="00E95903">
        <w:rPr>
          <w:lang w:val="fr-FR"/>
        </w:rPr>
        <w:tab/>
      </w:r>
      <w:r w:rsidRPr="00E95903">
        <w:rPr>
          <w:lang w:val="fr-FR"/>
        </w:rPr>
        <w:tab/>
      </w:r>
      <w:r w:rsidRPr="00E95903">
        <w:rPr>
          <w:lang w:val="fr-FR"/>
        </w:rPr>
        <w:tab/>
      </w:r>
    </w:p>
    <w:p w:rsidR="00C97A04" w:rsidRPr="00E95903" w:rsidRDefault="00C97A04" w:rsidP="00C97A04">
      <w:pPr>
        <w:jc w:val="both"/>
        <w:rPr>
          <w:lang w:val="fr-FR"/>
        </w:rPr>
      </w:pPr>
      <w:r w:rsidRPr="00E95903">
        <w:rPr>
          <w:lang w:val="fr-FR"/>
        </w:rPr>
        <w:tab/>
      </w:r>
      <w:r w:rsidRPr="00E95903">
        <w:rPr>
          <w:lang w:val="fr-FR"/>
        </w:rPr>
        <w:tab/>
        <w:t>+45 20751730</w:t>
      </w:r>
    </w:p>
    <w:p w:rsidR="00C97A04" w:rsidRPr="00E95903" w:rsidRDefault="00C97A04" w:rsidP="00C97A04">
      <w:pPr>
        <w:jc w:val="both"/>
        <w:rPr>
          <w:b/>
          <w:lang w:val="fr-FR"/>
        </w:rPr>
      </w:pPr>
    </w:p>
    <w:p w:rsidR="00C97A04" w:rsidRPr="00E95903" w:rsidRDefault="00C97A04" w:rsidP="00C97A04">
      <w:pPr>
        <w:jc w:val="both"/>
        <w:rPr>
          <w:b/>
          <w:lang w:val="fr-FR"/>
        </w:rPr>
      </w:pPr>
    </w:p>
    <w:p w:rsidR="00C97A04" w:rsidRPr="00F23DC3" w:rsidRDefault="00C97A04" w:rsidP="00C97A04">
      <w:pPr>
        <w:jc w:val="both"/>
        <w:rPr>
          <w:lang w:val="en-GB"/>
        </w:rPr>
      </w:pPr>
      <w:r w:rsidRPr="00F23DC3">
        <w:rPr>
          <w:b/>
          <w:bCs/>
          <w:lang w:val="en-GB"/>
        </w:rPr>
        <w:t>Date:</w:t>
      </w:r>
      <w:r w:rsidR="00E95903">
        <w:rPr>
          <w:lang w:val="en-GB"/>
        </w:rPr>
        <w:t xml:space="preserve"> </w:t>
      </w:r>
      <w:r w:rsidR="00E95903">
        <w:rPr>
          <w:lang w:val="en-GB"/>
        </w:rPr>
        <w:tab/>
      </w:r>
      <w:r w:rsidR="00E95903">
        <w:rPr>
          <w:lang w:val="en-GB"/>
        </w:rPr>
        <w:tab/>
        <w:t>16</w:t>
      </w:r>
      <w:r w:rsidRPr="00F23DC3">
        <w:rPr>
          <w:lang w:val="en-GB"/>
        </w:rPr>
        <w:t xml:space="preserve"> May 2019</w:t>
      </w:r>
    </w:p>
    <w:p w:rsidR="00C97A04" w:rsidRPr="00F23DC3" w:rsidRDefault="00C97A04" w:rsidP="00C97A04">
      <w:pPr>
        <w:jc w:val="both"/>
        <w:rPr>
          <w:b/>
          <w:lang w:val="en-GB"/>
        </w:rPr>
      </w:pPr>
    </w:p>
    <w:p w:rsidR="00C97A04" w:rsidRPr="00F23DC3" w:rsidRDefault="00C97A04" w:rsidP="00C97A04">
      <w:pPr>
        <w:jc w:val="both"/>
        <w:rPr>
          <w:b/>
          <w:lang w:val="en-GB"/>
        </w:rPr>
      </w:pPr>
      <w:r w:rsidRPr="00F23DC3">
        <w:rPr>
          <w:b/>
          <w:bCs/>
          <w:lang w:val="en-GB"/>
        </w:rPr>
        <w:t>Membership</w:t>
      </w:r>
      <w:r w:rsidR="00F23DC3" w:rsidRPr="00F23DC3">
        <w:rPr>
          <w:b/>
          <w:bCs/>
          <w:lang w:val="en-GB"/>
        </w:rPr>
        <w:t xml:space="preserve"> </w:t>
      </w:r>
      <w:r w:rsidRPr="00F23DC3">
        <w:rPr>
          <w:b/>
          <w:bCs/>
          <w:lang w:val="en-GB"/>
        </w:rPr>
        <w:t>commenced:</w:t>
      </w:r>
      <w:r w:rsidRPr="00F23DC3">
        <w:rPr>
          <w:lang w:val="en-GB"/>
        </w:rPr>
        <w:tab/>
        <w:t>October 2010</w:t>
      </w:r>
    </w:p>
    <w:p w:rsidR="00C97A04" w:rsidRPr="00F23DC3" w:rsidRDefault="00C97A04" w:rsidP="00C97A04">
      <w:pPr>
        <w:jc w:val="both"/>
        <w:rPr>
          <w:b/>
          <w:szCs w:val="20"/>
          <w:lang w:val="en-GB"/>
        </w:rPr>
      </w:pPr>
    </w:p>
    <w:p w:rsidR="00C97A04" w:rsidRPr="00F23DC3" w:rsidRDefault="00C97A04" w:rsidP="00C97A04">
      <w:pPr>
        <w:jc w:val="both"/>
        <w:rPr>
          <w:lang w:val="en-GB"/>
        </w:rPr>
      </w:pPr>
      <w:r w:rsidRPr="00F23DC3">
        <w:rPr>
          <w:b/>
          <w:bCs/>
          <w:szCs w:val="20"/>
          <w:lang w:val="en-GB"/>
        </w:rPr>
        <w:t>No. of employees</w:t>
      </w:r>
      <w:r w:rsidRPr="00F23DC3">
        <w:rPr>
          <w:b/>
          <w:bCs/>
          <w:lang w:val="en-GB"/>
        </w:rPr>
        <w:t>:</w:t>
      </w:r>
      <w:r w:rsidRPr="00F23DC3">
        <w:rPr>
          <w:lang w:val="en-GB"/>
        </w:rPr>
        <w:tab/>
        <w:t>115</w:t>
      </w:r>
    </w:p>
    <w:p w:rsidR="00C97A04" w:rsidRPr="00F23DC3" w:rsidRDefault="00C97A04" w:rsidP="00C97A04">
      <w:pPr>
        <w:jc w:val="both"/>
        <w:rPr>
          <w:b/>
          <w:lang w:val="en-GB"/>
        </w:rPr>
      </w:pPr>
    </w:p>
    <w:p w:rsidR="00C97A04" w:rsidRPr="00F23DC3" w:rsidRDefault="00C97A04" w:rsidP="00C97A04">
      <w:pPr>
        <w:jc w:val="both"/>
        <w:rPr>
          <w:lang w:val="en-GB"/>
        </w:rPr>
      </w:pPr>
      <w:r w:rsidRPr="00F23DC3">
        <w:rPr>
          <w:b/>
          <w:bCs/>
          <w:lang w:val="en-GB"/>
        </w:rPr>
        <w:t>Sector:</w:t>
      </w:r>
      <w:r w:rsidRPr="00F23DC3">
        <w:rPr>
          <w:lang w:val="en-GB"/>
        </w:rPr>
        <w:tab/>
      </w:r>
      <w:r w:rsidRPr="00F23DC3">
        <w:rPr>
          <w:lang w:val="en-GB"/>
        </w:rPr>
        <w:tab/>
        <w:t>Real Estate Investment &amp; Services</w:t>
      </w:r>
    </w:p>
    <w:p w:rsidR="00C97A04" w:rsidRDefault="00C97A04" w:rsidP="00C97A04">
      <w:pPr>
        <w:jc w:val="both"/>
        <w:rPr>
          <w:b/>
          <w:szCs w:val="20"/>
          <w:lang w:val="en-GB"/>
        </w:rPr>
      </w:pPr>
    </w:p>
    <w:p w:rsidR="00B8035C" w:rsidRPr="00F23DC3" w:rsidRDefault="00B8035C" w:rsidP="00C97A04">
      <w:pPr>
        <w:jc w:val="both"/>
        <w:rPr>
          <w:b/>
          <w:szCs w:val="20"/>
          <w:lang w:val="en-GB"/>
        </w:rPr>
      </w:pPr>
    </w:p>
    <w:p w:rsidR="00C97A04" w:rsidRPr="00F23DC3" w:rsidRDefault="00C97A04" w:rsidP="00C97A04">
      <w:pPr>
        <w:jc w:val="both"/>
        <w:rPr>
          <w:b/>
          <w:szCs w:val="20"/>
          <w:lang w:val="en-GB"/>
        </w:rPr>
      </w:pPr>
    </w:p>
    <w:p w:rsidR="00C97A04" w:rsidRPr="00B8035C" w:rsidRDefault="00B8035C" w:rsidP="00C97A04">
      <w:pPr>
        <w:jc w:val="both"/>
        <w:rPr>
          <w:b/>
          <w:szCs w:val="20"/>
          <w:lang w:val="en-US"/>
        </w:rPr>
      </w:pPr>
      <w:r w:rsidRPr="00B8035C">
        <w:rPr>
          <w:b/>
          <w:szCs w:val="20"/>
          <w:lang w:val="en-US"/>
        </w:rPr>
        <w:t xml:space="preserve">Brief </w:t>
      </w:r>
      <w:r w:rsidR="00C97A04" w:rsidRPr="00B8035C">
        <w:rPr>
          <w:b/>
          <w:szCs w:val="20"/>
          <w:lang w:val="en-US"/>
        </w:rPr>
        <w:t xml:space="preserve">description of </w:t>
      </w:r>
      <w:r w:rsidRPr="00B8035C">
        <w:rPr>
          <w:b/>
          <w:szCs w:val="20"/>
          <w:lang w:val="en-US"/>
        </w:rPr>
        <w:t xml:space="preserve">CPH City &amp; Port Development </w:t>
      </w:r>
    </w:p>
    <w:p w:rsidR="00C97A04" w:rsidRPr="00F23DC3" w:rsidRDefault="00C97A04" w:rsidP="00C97A04">
      <w:pPr>
        <w:rPr>
          <w:rFonts w:cs="Arial"/>
          <w:lang w:val="en-GB"/>
        </w:rPr>
      </w:pP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develops new city districts in Copenhagen and operates Copenhagen harbour. Our ambition is to create healthy, sustainable and coherent high-quality city districts with room for communities, the good city life and a vibrant harbour interacting with the Copenhageners. </w:t>
      </w:r>
      <w:r>
        <w:rPr>
          <w:rFonts w:cs="Arial"/>
          <w:lang w:val="en-GB"/>
        </w:rPr>
        <w:t>CPH City &amp; Port Development</w:t>
      </w:r>
      <w:r w:rsidR="00C97A04" w:rsidRPr="00F23DC3">
        <w:rPr>
          <w:rFonts w:cs="Arial"/>
          <w:lang w:val="en-GB"/>
        </w:rPr>
        <w:t>'s activities finance public infrastructure which makes it easier and more sustainable to be a Copenhagener.</w:t>
      </w:r>
      <w:r w:rsidR="00217A3B">
        <w:rPr>
          <w:rFonts w:cs="Arial"/>
          <w:lang w:val="en-GB"/>
        </w:rPr>
        <w:t xml:space="preserve"> </w:t>
      </w:r>
      <w:r>
        <w:rPr>
          <w:rFonts w:cs="Arial"/>
          <w:lang w:val="en-GB"/>
        </w:rPr>
        <w:t>CPH City &amp; Port Development</w:t>
      </w:r>
      <w:r w:rsidR="00C97A04" w:rsidRPr="00F23DC3">
        <w:rPr>
          <w:rFonts w:cs="Arial"/>
          <w:lang w:val="en-GB"/>
        </w:rPr>
        <w:t xml:space="preserve"> is one of the largest urban development companies in Denmark. The company was founded in October 2007 with the merger of Ørestadsselskabet and Copenhagen Harbour.</w:t>
      </w:r>
    </w:p>
    <w:p w:rsidR="00C97A04" w:rsidRPr="00F23DC3" w:rsidRDefault="00C97A04" w:rsidP="00C97A04">
      <w:pPr>
        <w:rPr>
          <w:rFonts w:cs="Arial"/>
          <w:lang w:val="en-GB"/>
        </w:rPr>
      </w:pP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is owned by the City of Copenhagen (95%) and the Danish State (5%).</w:t>
      </w:r>
    </w:p>
    <w:p w:rsidR="00C97A04" w:rsidRPr="00F23DC3" w:rsidRDefault="00C97A04" w:rsidP="00C97A04">
      <w:pPr>
        <w:rPr>
          <w:rFonts w:cs="Arial"/>
          <w:lang w:val="en-GB"/>
        </w:rPr>
      </w:pPr>
    </w:p>
    <w:p w:rsidR="00C97A04" w:rsidRPr="00F23DC3" w:rsidRDefault="00C97A04" w:rsidP="00C97A04">
      <w:pPr>
        <w:rPr>
          <w:rFonts w:cs="Arial"/>
          <w:lang w:val="en-GB"/>
        </w:rPr>
      </w:pPr>
    </w:p>
    <w:p w:rsidR="00C97A04" w:rsidRDefault="00C97A04" w:rsidP="00C97A04">
      <w:pPr>
        <w:rPr>
          <w:rFonts w:cs="Arial"/>
          <w:lang w:val="en-GB"/>
        </w:rPr>
      </w:pPr>
      <w:r w:rsidRPr="00F23DC3">
        <w:rPr>
          <w:rFonts w:cs="Arial"/>
          <w:lang w:val="en-GB"/>
        </w:rPr>
        <w:t xml:space="preserve">For additional information about </w:t>
      </w:r>
      <w:r w:rsidR="00B8035C">
        <w:rPr>
          <w:rFonts w:cs="Arial"/>
          <w:lang w:val="en-GB"/>
        </w:rPr>
        <w:t>CPH City &amp; Port Development</w:t>
      </w:r>
      <w:r w:rsidRPr="00F23DC3">
        <w:rPr>
          <w:rFonts w:cs="Arial"/>
          <w:lang w:val="en-GB"/>
        </w:rPr>
        <w:t xml:space="preserve">: </w:t>
      </w:r>
      <w:hyperlink r:id="rId8" w:history="1">
        <w:r w:rsidRPr="00F23DC3">
          <w:rPr>
            <w:rFonts w:cs="Arial"/>
            <w:lang w:val="en-GB"/>
          </w:rPr>
          <w:t>www.byoghavn.dk</w:t>
        </w:r>
      </w:hyperlink>
    </w:p>
    <w:p w:rsidR="00E95903" w:rsidRDefault="00E95903" w:rsidP="00C97A04">
      <w:pPr>
        <w:rPr>
          <w:rFonts w:cs="Arial"/>
          <w:lang w:val="en-GB"/>
        </w:rPr>
      </w:pPr>
    </w:p>
    <w:p w:rsidR="00E95903" w:rsidRPr="00F23DC3" w:rsidRDefault="00E95903" w:rsidP="00C97A04">
      <w:pPr>
        <w:rPr>
          <w:rFonts w:cs="Arial"/>
          <w:lang w:val="en-GB"/>
        </w:rPr>
      </w:pPr>
    </w:p>
    <w:p w:rsidR="00C97A04" w:rsidRPr="00F23DC3" w:rsidRDefault="00C97A04" w:rsidP="00C97A04">
      <w:pPr>
        <w:jc w:val="both"/>
        <w:rPr>
          <w:rFonts w:cs="Arial"/>
          <w:lang w:val="en-GB"/>
        </w:rPr>
      </w:pPr>
    </w:p>
    <w:p w:rsidR="00C97A04" w:rsidRPr="00F23DC3" w:rsidRDefault="00C97A04" w:rsidP="00C97A04">
      <w:pPr>
        <w:jc w:val="both"/>
        <w:rPr>
          <w:rFonts w:cs="Arial"/>
          <w:lang w:val="en-GB"/>
        </w:rPr>
      </w:pPr>
    </w:p>
    <w:p w:rsidR="00C97A04" w:rsidRPr="00F23DC3" w:rsidRDefault="00C97A04" w:rsidP="00C97A04">
      <w:pPr>
        <w:jc w:val="both"/>
        <w:rPr>
          <w:rFonts w:cs="Arial"/>
          <w:lang w:val="en-GB"/>
        </w:rPr>
      </w:pPr>
    </w:p>
    <w:p w:rsidR="00C97A04" w:rsidRPr="00F23DC3" w:rsidRDefault="00C97A04" w:rsidP="00C97A04">
      <w:pPr>
        <w:jc w:val="both"/>
        <w:rPr>
          <w:rFonts w:cs="Arial"/>
          <w:lang w:val="en-GB"/>
        </w:rPr>
      </w:pPr>
    </w:p>
    <w:p w:rsidR="00C97A04" w:rsidRPr="00F23DC3" w:rsidRDefault="00C97A04" w:rsidP="00217A3B">
      <w:pPr>
        <w:pStyle w:val="Overskrift1"/>
        <w:rPr>
          <w:lang w:val="en-GB"/>
        </w:rPr>
      </w:pPr>
      <w:r w:rsidRPr="00F23DC3">
        <w:rPr>
          <w:b w:val="0"/>
          <w:bCs w:val="0"/>
          <w:lang w:val="en-GB"/>
        </w:rPr>
        <w:br w:type="page"/>
      </w:r>
      <w:bookmarkStart w:id="5" w:name="_Toc381345868"/>
      <w:bookmarkStart w:id="6" w:name="_Toc381103214"/>
      <w:bookmarkStart w:id="7" w:name="_Toc380587563"/>
      <w:bookmarkStart w:id="8" w:name="_Toc380587080"/>
      <w:bookmarkStart w:id="9" w:name="_Toc507417366"/>
      <w:r w:rsidRPr="00F23DC3">
        <w:rPr>
          <w:lang w:val="en-GB"/>
        </w:rPr>
        <w:lastRenderedPageBreak/>
        <w:t>Statement of Continued Support for the UN Global Compact</w:t>
      </w:r>
      <w:bookmarkEnd w:id="5"/>
      <w:bookmarkEnd w:id="6"/>
      <w:bookmarkEnd w:id="7"/>
      <w:bookmarkEnd w:id="8"/>
      <w:bookmarkEnd w:id="9"/>
    </w:p>
    <w:p w:rsidR="00C97A04" w:rsidRPr="00F23DC3" w:rsidRDefault="00C97A04" w:rsidP="00C97A04">
      <w:pPr>
        <w:jc w:val="both"/>
        <w:rPr>
          <w:rFonts w:cs="Arial"/>
          <w:szCs w:val="20"/>
          <w:lang w:val="en-GB"/>
        </w:rPr>
      </w:pPr>
    </w:p>
    <w:p w:rsidR="00C97A04" w:rsidRPr="00F23DC3" w:rsidRDefault="00C97A04" w:rsidP="00C97A04">
      <w:pPr>
        <w:spacing w:after="200" w:line="276" w:lineRule="auto"/>
        <w:rPr>
          <w:rFonts w:cs="Arial"/>
          <w:lang w:val="en-GB"/>
        </w:rPr>
      </w:pPr>
      <w:r w:rsidRPr="00F23DC3">
        <w:rPr>
          <w:rFonts w:cs="Arial"/>
          <w:lang w:val="en-GB"/>
        </w:rPr>
        <w:t xml:space="preserve">With its membership of UN Global Compact, </w:t>
      </w:r>
      <w:r w:rsidR="00B8035C">
        <w:rPr>
          <w:rFonts w:cs="Arial"/>
          <w:lang w:val="en-GB"/>
        </w:rPr>
        <w:t>CPH City &amp; Port Development</w:t>
      </w:r>
      <w:r w:rsidRPr="00F23DC3">
        <w:rPr>
          <w:rFonts w:cs="Arial"/>
          <w:lang w:val="en-GB"/>
        </w:rPr>
        <w:t xml:space="preserve"> wishes to continue its support for the principles with respect to human rights, labour rights, environment and anti-corruption. </w:t>
      </w:r>
      <w:r w:rsidR="00B8035C">
        <w:rPr>
          <w:rFonts w:cs="Arial"/>
          <w:lang w:val="en-GB"/>
        </w:rPr>
        <w:t>CPH City &amp; Port Development</w:t>
      </w:r>
      <w:r w:rsidRPr="00F23DC3">
        <w:rPr>
          <w:rFonts w:cs="Arial"/>
          <w:lang w:val="en-GB"/>
        </w:rPr>
        <w:t xml:space="preserve"> still believes that the ten principles of UN Global Compact open up good possibilities of systemising the company's CSR work. </w:t>
      </w:r>
    </w:p>
    <w:p w:rsidR="00C97A04" w:rsidRPr="00F23DC3" w:rsidRDefault="00C97A04" w:rsidP="00C97A04">
      <w:pPr>
        <w:spacing w:after="200" w:line="276" w:lineRule="auto"/>
        <w:rPr>
          <w:rFonts w:cs="Arial"/>
          <w:lang w:val="en-GB"/>
        </w:rPr>
      </w:pPr>
      <w:r w:rsidRPr="00F23DC3">
        <w:rPr>
          <w:rFonts w:cs="Arial"/>
          <w:lang w:val="en-GB"/>
        </w:rPr>
        <w:t xml:space="preserve">The main focus of the company's CSR work aims at UN Global Compact's principles of the environment as this area is where </w:t>
      </w:r>
      <w:r w:rsidR="00B8035C">
        <w:rPr>
          <w:rFonts w:cs="Arial"/>
          <w:lang w:val="en-GB"/>
        </w:rPr>
        <w:t>CPH City &amp; Port Development</w:t>
      </w:r>
      <w:r w:rsidRPr="00F23DC3">
        <w:rPr>
          <w:rFonts w:cs="Arial"/>
          <w:lang w:val="en-GB"/>
        </w:rPr>
        <w:t xml:space="preserve"> may exert maximum influence in relation to the company's business activities. However, </w:t>
      </w:r>
      <w:r w:rsidR="00B8035C">
        <w:rPr>
          <w:rFonts w:cs="Arial"/>
          <w:lang w:val="en-GB"/>
        </w:rPr>
        <w:t>CPH City &amp; Port Development</w:t>
      </w:r>
      <w:r w:rsidRPr="00F23DC3">
        <w:rPr>
          <w:rFonts w:cs="Arial"/>
          <w:lang w:val="en-GB"/>
        </w:rPr>
        <w:t xml:space="preserve"> is also conscious to ensure human rights, labour rights and anti-corruption in its day-to-day work. </w:t>
      </w:r>
    </w:p>
    <w:p w:rsidR="00C97A04" w:rsidRPr="00F23DC3" w:rsidRDefault="00B8035C" w:rsidP="00C97A04">
      <w:pPr>
        <w:spacing w:after="200" w:line="276" w:lineRule="auto"/>
        <w:rPr>
          <w:rFonts w:cs="Arial"/>
          <w:lang w:val="en-GB"/>
        </w:rPr>
      </w:pPr>
      <w:r>
        <w:rPr>
          <w:rFonts w:cs="Arial"/>
          <w:lang w:val="en-GB"/>
        </w:rPr>
        <w:t>CPH City &amp; Port Development</w:t>
      </w:r>
      <w:r w:rsidR="00C97A04" w:rsidRPr="00F23DC3">
        <w:rPr>
          <w:rFonts w:cs="Arial"/>
          <w:lang w:val="en-GB"/>
        </w:rPr>
        <w:t xml:space="preserve"> is a development and operating company delivering long-term and systemic urban development and takes responsibility for creating coherent and efficient city districts, such as Ørestad and Nordhavn. Energy and resource efficiency, environment and adaptation to climate change are integrated into the plans while supporting communities, health and good urban life.</w:t>
      </w:r>
    </w:p>
    <w:p w:rsidR="00C97A04" w:rsidRPr="00F23DC3" w:rsidRDefault="00B8035C" w:rsidP="00C97A04">
      <w:pPr>
        <w:spacing w:after="200" w:line="276" w:lineRule="auto"/>
        <w:rPr>
          <w:rFonts w:cs="Arial"/>
          <w:lang w:val="en-GB"/>
        </w:rPr>
      </w:pPr>
      <w:r>
        <w:rPr>
          <w:rFonts w:cs="Arial"/>
          <w:lang w:val="en-GB"/>
        </w:rPr>
        <w:t>CPH City &amp; Port Development</w:t>
      </w:r>
      <w:r w:rsidR="00C97A04" w:rsidRPr="00F23DC3">
        <w:rPr>
          <w:rFonts w:cs="Arial"/>
          <w:lang w:val="en-GB"/>
        </w:rPr>
        <w:t xml:space="preserve">'s ambition is to create socially, environmentally and financially sustainable city districts where the company sets the framework of urban life, housing, business and communities. </w:t>
      </w:r>
    </w:p>
    <w:p w:rsidR="00C97A04" w:rsidRPr="00F23DC3" w:rsidRDefault="00B8035C" w:rsidP="00C97A04">
      <w:pPr>
        <w:spacing w:after="200" w:line="276" w:lineRule="auto"/>
        <w:rPr>
          <w:rFonts w:cs="Arial"/>
          <w:lang w:val="en-GB"/>
        </w:rPr>
      </w:pPr>
      <w:r>
        <w:rPr>
          <w:rFonts w:cs="Arial"/>
          <w:lang w:val="en-GB"/>
        </w:rPr>
        <w:t>CPH City &amp; Port Development</w:t>
      </w:r>
      <w:r w:rsidR="00C97A04" w:rsidRPr="00F23DC3">
        <w:rPr>
          <w:rFonts w:cs="Arial"/>
          <w:lang w:val="en-GB"/>
        </w:rPr>
        <w:t xml:space="preserve"> is responsible for planning the city districts, establishing roads and canals, multi-storey car parks, public open spaces and green spaces. </w:t>
      </w:r>
      <w:r>
        <w:rPr>
          <w:rFonts w:cs="Arial"/>
          <w:lang w:val="en-GB"/>
        </w:rPr>
        <w:t>CPH City &amp; Port Development</w:t>
      </w:r>
      <w:r w:rsidR="00C97A04" w:rsidRPr="00F23DC3">
        <w:rPr>
          <w:rFonts w:cs="Arial"/>
          <w:lang w:val="en-GB"/>
        </w:rPr>
        <w:t xml:space="preserve"> sells sites to various investors and for social housing and takes an active part in urban life initiatives all the way from the first planning until the residents have moved in and the city districts come alive. </w:t>
      </w:r>
    </w:p>
    <w:p w:rsidR="00C97A04" w:rsidRPr="00F23DC3" w:rsidRDefault="00B8035C" w:rsidP="00C97A04">
      <w:pPr>
        <w:spacing w:after="200" w:line="276" w:lineRule="auto"/>
        <w:rPr>
          <w:rFonts w:cs="Arial"/>
          <w:lang w:val="en-GB"/>
        </w:rPr>
      </w:pPr>
      <w:r>
        <w:rPr>
          <w:rFonts w:cs="Arial"/>
          <w:lang w:val="en-GB"/>
        </w:rPr>
        <w:t>CPH City &amp; Port Development</w:t>
      </w:r>
      <w:r w:rsidR="00C97A04" w:rsidRPr="00F23DC3">
        <w:rPr>
          <w:rFonts w:cs="Arial"/>
          <w:lang w:val="en-GB"/>
        </w:rPr>
        <w:t xml:space="preserve"> has responsibility for Copenhagen Harbour. The harbour consists of a commercial harbour with container and cruise ship terminals run by CMP and a vibrant commercial and recreational harbour with bathing facilities, pleasure boats, tour boats and other recreational activities.</w:t>
      </w:r>
    </w:p>
    <w:p w:rsidR="00C97A04" w:rsidRPr="00F23DC3" w:rsidRDefault="00B8035C" w:rsidP="00C97A04">
      <w:pPr>
        <w:spacing w:after="200" w:line="276" w:lineRule="auto"/>
        <w:rPr>
          <w:rFonts w:cs="Arial"/>
          <w:lang w:val="en-GB"/>
        </w:rPr>
      </w:pPr>
      <w:r>
        <w:rPr>
          <w:rFonts w:cs="Arial"/>
          <w:lang w:val="en-GB"/>
        </w:rPr>
        <w:t>CPH City &amp; Port Development</w:t>
      </w:r>
      <w:r w:rsidR="00C97A04" w:rsidRPr="00F23DC3">
        <w:rPr>
          <w:rFonts w:cs="Arial"/>
          <w:lang w:val="en-GB"/>
        </w:rPr>
        <w:t xml:space="preserve"> is owned by the City of Copenhagen (95 per cent) and the Danish State (5 per cent) and is run on a commercial basis. This ownership gives </w:t>
      </w:r>
      <w:r>
        <w:rPr>
          <w:rFonts w:cs="Arial"/>
          <w:lang w:val="en-GB"/>
        </w:rPr>
        <w:t>CPH City &amp; Port Development</w:t>
      </w:r>
      <w:r w:rsidR="00C97A04" w:rsidRPr="00F23DC3">
        <w:rPr>
          <w:rFonts w:cs="Arial"/>
          <w:lang w:val="en-GB"/>
        </w:rPr>
        <w:t xml:space="preserve"> a long-term perspective which means that </w:t>
      </w:r>
      <w:r>
        <w:rPr>
          <w:rFonts w:cs="Arial"/>
          <w:lang w:val="en-GB"/>
        </w:rPr>
        <w:t>CPH City &amp; Port Development</w:t>
      </w:r>
      <w:r w:rsidR="00C97A04" w:rsidRPr="00F23DC3">
        <w:rPr>
          <w:rFonts w:cs="Arial"/>
          <w:lang w:val="en-GB"/>
        </w:rPr>
        <w:t xml:space="preserve"> is able to ensure that the city is not being developed from site to site but for the future – city district by city district.</w:t>
      </w:r>
    </w:p>
    <w:p w:rsidR="00C97A04" w:rsidRPr="00F23DC3" w:rsidRDefault="00C97A04" w:rsidP="00C97A04">
      <w:pPr>
        <w:spacing w:after="200" w:line="276" w:lineRule="auto"/>
        <w:rPr>
          <w:rFonts w:cs="Arial"/>
          <w:lang w:val="en-GB"/>
        </w:rPr>
      </w:pPr>
      <w:r w:rsidRPr="00F23DC3">
        <w:rPr>
          <w:rFonts w:cs="Arial"/>
          <w:lang w:val="en-GB"/>
        </w:rPr>
        <w:t xml:space="preserve">As an urban development company, landowner and harbour authority, </w:t>
      </w:r>
      <w:r w:rsidR="00B8035C">
        <w:rPr>
          <w:rFonts w:cs="Arial"/>
          <w:lang w:val="en-GB"/>
        </w:rPr>
        <w:t>CPH City &amp; Port Development</w:t>
      </w:r>
      <w:r w:rsidRPr="00F23DC3">
        <w:rPr>
          <w:rFonts w:cs="Arial"/>
          <w:lang w:val="en-GB"/>
        </w:rPr>
        <w:t xml:space="preserve"> has a special position in Copenhagen. The decisions made by the company reach many decades into the future –and concern both existing and future citizens, businesses and guests in Copenhagen. That's why </w:t>
      </w:r>
      <w:r w:rsidR="00B8035C">
        <w:rPr>
          <w:rFonts w:cs="Arial"/>
          <w:lang w:val="en-GB"/>
        </w:rPr>
        <w:t>CPH City &amp; Port Development</w:t>
      </w:r>
      <w:r w:rsidRPr="00F23DC3">
        <w:rPr>
          <w:rFonts w:cs="Arial"/>
          <w:lang w:val="en-GB"/>
        </w:rPr>
        <w:t xml:space="preserve"> is conscious that its decisions must support and integrate sustainable solutions in its development areas.</w:t>
      </w:r>
    </w:p>
    <w:p w:rsidR="00C97A04" w:rsidRPr="00F23DC3" w:rsidRDefault="00C97A04" w:rsidP="00C97A04">
      <w:pPr>
        <w:spacing w:after="200" w:line="276" w:lineRule="auto"/>
        <w:rPr>
          <w:rFonts w:cs="Arial"/>
          <w:lang w:val="en-GB"/>
        </w:rPr>
      </w:pPr>
    </w:p>
    <w:p w:rsidR="00C97A04" w:rsidRPr="00F23DC3" w:rsidRDefault="00C97A04" w:rsidP="00C97A04">
      <w:pPr>
        <w:spacing w:after="200" w:line="276" w:lineRule="auto"/>
        <w:rPr>
          <w:rFonts w:cs="Arial"/>
          <w:lang w:val="en-GB"/>
        </w:rPr>
      </w:pPr>
      <w:r w:rsidRPr="00F23DC3">
        <w:rPr>
          <w:rFonts w:cs="Arial"/>
          <w:lang w:val="en-GB"/>
        </w:rPr>
        <w:t>Anne Skovbro</w:t>
      </w:r>
    </w:p>
    <w:p w:rsidR="00C97A04" w:rsidRPr="00F23DC3" w:rsidRDefault="00C97A04" w:rsidP="00C97A04">
      <w:pPr>
        <w:spacing w:after="200" w:line="276" w:lineRule="auto"/>
        <w:rPr>
          <w:rFonts w:cs="Arial"/>
          <w:lang w:val="en-GB"/>
        </w:rPr>
      </w:pPr>
      <w:r w:rsidRPr="00F23DC3">
        <w:rPr>
          <w:rFonts w:cs="Arial"/>
          <w:lang w:val="en-GB"/>
        </w:rPr>
        <w:t>CEO</w:t>
      </w:r>
    </w:p>
    <w:p w:rsidR="00C97A04" w:rsidRPr="00F23DC3" w:rsidRDefault="00C97A04" w:rsidP="00C97A04">
      <w:pPr>
        <w:rPr>
          <w:rFonts w:cs="Arial"/>
          <w:szCs w:val="20"/>
          <w:lang w:val="en-GB"/>
        </w:rPr>
      </w:pPr>
    </w:p>
    <w:p w:rsidR="00C97A04" w:rsidRPr="00F23DC3" w:rsidRDefault="00C97A04" w:rsidP="00C97A04">
      <w:pPr>
        <w:rPr>
          <w:rFonts w:cs="Arial"/>
          <w:szCs w:val="20"/>
          <w:lang w:val="en-GB"/>
        </w:rPr>
      </w:pPr>
    </w:p>
    <w:p w:rsidR="00C97A04" w:rsidRPr="00F23DC3" w:rsidRDefault="00C97A04" w:rsidP="00C97A04">
      <w:pPr>
        <w:rPr>
          <w:rFonts w:cs="Arial"/>
          <w:i/>
          <w:szCs w:val="20"/>
          <w:lang w:val="en-GB"/>
        </w:rPr>
      </w:pPr>
    </w:p>
    <w:p w:rsidR="00C97A04" w:rsidRPr="00F23DC3" w:rsidRDefault="00C97A04" w:rsidP="00C97A04">
      <w:pPr>
        <w:pStyle w:val="Overskrift1"/>
        <w:spacing w:after="0"/>
        <w:rPr>
          <w:lang w:val="en-GB"/>
        </w:rPr>
      </w:pPr>
      <w:bookmarkStart w:id="10" w:name="_Toc507417367"/>
      <w:bookmarkStart w:id="11" w:name="_Toc381345869"/>
      <w:bookmarkStart w:id="12" w:name="_Toc381103215"/>
      <w:bookmarkStart w:id="13" w:name="_Toc380587564"/>
      <w:bookmarkStart w:id="14" w:name="_Toc380587081"/>
      <w:r w:rsidRPr="00F23DC3">
        <w:rPr>
          <w:lang w:val="en-GB"/>
        </w:rPr>
        <w:t>Activities and results</w:t>
      </w:r>
      <w:bookmarkEnd w:id="10"/>
      <w:bookmarkEnd w:id="11"/>
      <w:bookmarkEnd w:id="12"/>
      <w:bookmarkEnd w:id="13"/>
      <w:bookmarkEnd w:id="14"/>
    </w:p>
    <w:p w:rsidR="00C97A04" w:rsidRPr="00F23DC3" w:rsidRDefault="00C97A04" w:rsidP="00C97A04">
      <w:pPr>
        <w:pStyle w:val="Overskrift1"/>
        <w:numPr>
          <w:ilvl w:val="0"/>
          <w:numId w:val="0"/>
        </w:numPr>
        <w:spacing w:after="0"/>
        <w:ind w:left="432"/>
        <w:rPr>
          <w:sz w:val="20"/>
          <w:szCs w:val="20"/>
          <w:lang w:val="en-GB"/>
        </w:rPr>
      </w:pPr>
      <w:r w:rsidRPr="00F23DC3">
        <w:rPr>
          <w:lang w:val="en-GB"/>
        </w:rPr>
        <w:t xml:space="preserve"> </w:t>
      </w:r>
    </w:p>
    <w:p w:rsidR="00C97A04" w:rsidRPr="00F23DC3" w:rsidRDefault="00C97A04" w:rsidP="00C97A04">
      <w:pPr>
        <w:rPr>
          <w:lang w:val="en-GB"/>
        </w:rPr>
      </w:pPr>
    </w:p>
    <w:p w:rsidR="00C97A04" w:rsidRPr="00F23DC3" w:rsidRDefault="00C97A04" w:rsidP="00C97A04">
      <w:pPr>
        <w:rPr>
          <w:rFonts w:cs="Arial"/>
          <w:i/>
          <w:lang w:val="en-GB"/>
        </w:rPr>
      </w:pPr>
      <w:r w:rsidRPr="00F23DC3">
        <w:rPr>
          <w:rFonts w:cs="Arial"/>
          <w:lang w:val="en-GB"/>
        </w:rPr>
        <w:t xml:space="preserve">In the past year, </w:t>
      </w:r>
      <w:r w:rsidR="00B8035C">
        <w:rPr>
          <w:rFonts w:cs="Arial"/>
          <w:lang w:val="en-GB"/>
        </w:rPr>
        <w:t>CPH City &amp; Port Development</w:t>
      </w:r>
      <w:r w:rsidRPr="00F23DC3">
        <w:rPr>
          <w:rFonts w:cs="Arial"/>
          <w:lang w:val="en-GB"/>
        </w:rPr>
        <w:t xml:space="preserve"> has worked with the goals below and also set up new goals for its CSR efforts.</w:t>
      </w:r>
    </w:p>
    <w:p w:rsidR="00C97A04" w:rsidRPr="00F23DC3" w:rsidRDefault="00C97A04" w:rsidP="00C97A04">
      <w:pPr>
        <w:rPr>
          <w:rFonts w:cs="Arial"/>
          <w:szCs w:val="20"/>
          <w:lang w:val="en-GB"/>
        </w:rPr>
      </w:pPr>
    </w:p>
    <w:p w:rsidR="00C97A04" w:rsidRPr="00F23DC3" w:rsidRDefault="00C97A04" w:rsidP="00C97A04">
      <w:pPr>
        <w:pStyle w:val="Overskrift2"/>
        <w:spacing w:after="0"/>
        <w:rPr>
          <w:sz w:val="20"/>
          <w:szCs w:val="20"/>
          <w:lang w:val="en-GB"/>
        </w:rPr>
      </w:pPr>
      <w:bookmarkStart w:id="15" w:name="_Toc507417368"/>
      <w:bookmarkStart w:id="16" w:name="_Toc381345870"/>
      <w:bookmarkStart w:id="17" w:name="_Toc381103216"/>
      <w:bookmarkStart w:id="18" w:name="_Toc380587565"/>
      <w:bookmarkStart w:id="19" w:name="_Toc380587082"/>
      <w:r w:rsidRPr="00F23DC3">
        <w:rPr>
          <w:iCs w:val="0"/>
          <w:sz w:val="20"/>
          <w:szCs w:val="20"/>
          <w:lang w:val="en-GB"/>
        </w:rPr>
        <w:t>Focus on human rights, labour rights and anti-corruption (principles 1-6, 10)</w:t>
      </w:r>
      <w:bookmarkEnd w:id="15"/>
      <w:bookmarkEnd w:id="16"/>
      <w:bookmarkEnd w:id="17"/>
      <w:bookmarkEnd w:id="18"/>
      <w:bookmarkEnd w:id="19"/>
    </w:p>
    <w:p w:rsidR="00C97A04" w:rsidRPr="00F23DC3" w:rsidRDefault="00C97A04" w:rsidP="00C97A04">
      <w:pPr>
        <w:rPr>
          <w:lang w:val="en-GB"/>
        </w:rPr>
      </w:pPr>
    </w:p>
    <w:p w:rsidR="00C97A04" w:rsidRPr="00F23DC3" w:rsidRDefault="00C97A04" w:rsidP="00C97A04">
      <w:pPr>
        <w:rPr>
          <w:lang w:val="en-GB"/>
        </w:rPr>
      </w:pPr>
    </w:p>
    <w:p w:rsidR="00C97A04" w:rsidRPr="00F23DC3" w:rsidRDefault="00C97A04" w:rsidP="00C97A04">
      <w:pPr>
        <w:pStyle w:val="Overskrift3"/>
        <w:rPr>
          <w:lang w:val="en-GB"/>
        </w:rPr>
      </w:pPr>
      <w:bookmarkStart w:id="20" w:name="_Toc381103217"/>
      <w:bookmarkStart w:id="21" w:name="_Toc380587566"/>
      <w:bookmarkStart w:id="22" w:name="_Toc380587083"/>
      <w:r w:rsidRPr="00F23DC3">
        <w:rPr>
          <w:lang w:val="en-GB"/>
        </w:rPr>
        <w:t>Human rights</w:t>
      </w:r>
      <w:bookmarkEnd w:id="20"/>
      <w:bookmarkEnd w:id="21"/>
      <w:bookmarkEnd w:id="22"/>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wants to support human rights where relevant and possible for the company. </w:t>
      </w:r>
      <w:r>
        <w:rPr>
          <w:rFonts w:cs="Arial"/>
          <w:lang w:val="en-GB"/>
        </w:rPr>
        <w:t>CPH City &amp; Port Development</w:t>
      </w:r>
      <w:r w:rsidR="00C97A04" w:rsidRPr="00F23DC3">
        <w:rPr>
          <w:rFonts w:cs="Arial"/>
          <w:lang w:val="en-GB"/>
        </w:rPr>
        <w:t xml:space="preserve"> has chosen to focus its human rights efforts on employee welfare.</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 xml:space="preserve">To be an attractive workplace, </w:t>
      </w:r>
      <w:r w:rsidR="00B8035C">
        <w:rPr>
          <w:rFonts w:cs="Arial"/>
          <w:lang w:val="en-GB"/>
        </w:rPr>
        <w:t>CPH City &amp; Port Development</w:t>
      </w:r>
      <w:r w:rsidRPr="00F23DC3">
        <w:rPr>
          <w:rFonts w:cs="Arial"/>
          <w:lang w:val="en-GB"/>
        </w:rPr>
        <w:t xml:space="preserve"> focuses on working environment and collaboration. The company aims to always have the employees with the qualifications required to handle the tasks of </w:t>
      </w:r>
      <w:r w:rsidR="00B8035C">
        <w:rPr>
          <w:rFonts w:cs="Arial"/>
          <w:lang w:val="en-GB"/>
        </w:rPr>
        <w:t>CPH City &amp; Port Development</w:t>
      </w:r>
      <w:r w:rsidRPr="00F23DC3">
        <w:rPr>
          <w:rFonts w:cs="Arial"/>
          <w:lang w:val="en-GB"/>
        </w:rPr>
        <w:t xml:space="preserve">. One of the goals of the company's personnel policy is job satisfaction for its employees, worklife commitment as well as excellent development opportunities. </w:t>
      </w:r>
      <w:r w:rsidR="00B8035C">
        <w:rPr>
          <w:rFonts w:cs="Arial"/>
          <w:lang w:val="en-GB"/>
        </w:rPr>
        <w:t>CPH City &amp; Port Development</w:t>
      </w:r>
      <w:r w:rsidRPr="00F23DC3">
        <w:rPr>
          <w:rFonts w:cs="Arial"/>
          <w:lang w:val="en-GB"/>
        </w:rPr>
        <w:t>'s objectives in this area have been described in detail in the company's employee manual.</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To ensure focus on professional and personal development, annual performance reviews will be held. Internal control measures will be developed and implemented in 2019 to ensure clear direction, objectives, goals and competence development for each employee.</w:t>
      </w:r>
    </w:p>
    <w:p w:rsidR="00C97A04" w:rsidRPr="00F23DC3" w:rsidRDefault="00C97A04" w:rsidP="00C97A04">
      <w:pPr>
        <w:autoSpaceDE w:val="0"/>
        <w:autoSpaceDN w:val="0"/>
        <w:adjustRightInd w:val="0"/>
        <w:rPr>
          <w:rFonts w:cs="Arial"/>
          <w:lang w:val="en-GB"/>
        </w:rPr>
      </w:pPr>
    </w:p>
    <w:p w:rsidR="00C97A04" w:rsidRPr="00F23DC3" w:rsidRDefault="00C97A04" w:rsidP="00C97A04">
      <w:pPr>
        <w:autoSpaceDE w:val="0"/>
        <w:autoSpaceDN w:val="0"/>
        <w:adjustRightInd w:val="0"/>
        <w:rPr>
          <w:rFonts w:cs="Arial"/>
          <w:lang w:val="en-GB"/>
        </w:rPr>
      </w:pPr>
    </w:p>
    <w:p w:rsidR="00C97A04" w:rsidRPr="00F23DC3" w:rsidRDefault="00C97A04" w:rsidP="00C97A04">
      <w:pPr>
        <w:pStyle w:val="Overskrift4"/>
        <w:rPr>
          <w:lang w:val="en-GB"/>
        </w:rPr>
      </w:pPr>
      <w:r w:rsidRPr="00F23DC3">
        <w:rPr>
          <w:lang w:val="en-GB"/>
        </w:rPr>
        <w:t xml:space="preserve">Working environment </w:t>
      </w:r>
    </w:p>
    <w:p w:rsidR="00C97A04" w:rsidRPr="00F23DC3" w:rsidRDefault="00B8035C" w:rsidP="00C97A04">
      <w:pPr>
        <w:autoSpaceDE w:val="0"/>
        <w:autoSpaceDN w:val="0"/>
        <w:adjustRightInd w:val="0"/>
        <w:rPr>
          <w:rFonts w:cs="Arial"/>
          <w:lang w:val="en-GB"/>
        </w:rPr>
      </w:pPr>
      <w:r>
        <w:rPr>
          <w:rFonts w:cs="Arial"/>
          <w:lang w:val="en-GB"/>
        </w:rPr>
        <w:t>CPH City &amp; Port Development</w:t>
      </w:r>
      <w:r w:rsidR="00C97A04" w:rsidRPr="00F23DC3">
        <w:rPr>
          <w:rFonts w:cs="Arial"/>
          <w:lang w:val="en-GB"/>
        </w:rPr>
        <w:t xml:space="preserve"> considers its employees to be the key resource to achieving the company's goals. Consequently, </w:t>
      </w:r>
      <w:r>
        <w:rPr>
          <w:rFonts w:cs="Arial"/>
          <w:lang w:val="en-GB"/>
        </w:rPr>
        <w:t>CPH City &amp; Port Development</w:t>
      </w:r>
      <w:r w:rsidR="00C97A04" w:rsidRPr="00F23DC3">
        <w:rPr>
          <w:rFonts w:cs="Arial"/>
          <w:lang w:val="en-GB"/>
        </w:rPr>
        <w:t xml:space="preserve"> emphasises employee security, health promotion and low sickness absence. We are constantly striving to ensure excellent physical and mental working environments in collaboration with our Workplace Environment Committee and Liaison Committee. </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 xml:space="preserve">In September 2018, a workplace assessment (APV) was prepared for the physical and mental working environments. </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 xml:space="preserve">Based on this workplace assessment, the Workplace Environment Committee has prepared an action plan which lays out the most important items from the workplace assessment. The company works continuously with this action plan, follow up and reviews progress. </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 xml:space="preserve">From 2019, the company will increase its focus on work accidents and near misses. This includes both internal work accidents relating to </w:t>
      </w:r>
      <w:r w:rsidR="00B8035C">
        <w:rPr>
          <w:rFonts w:cs="Arial"/>
          <w:lang w:val="en-GB"/>
        </w:rPr>
        <w:t>CPH City &amp; Port Development</w:t>
      </w:r>
      <w:r w:rsidRPr="00F23DC3">
        <w:rPr>
          <w:rFonts w:cs="Arial"/>
          <w:lang w:val="en-GB"/>
        </w:rPr>
        <w:t xml:space="preserve">'s own employees and external work accidents in connection with building projects where </w:t>
      </w:r>
      <w:r w:rsidR="00B8035C">
        <w:rPr>
          <w:rFonts w:cs="Arial"/>
          <w:lang w:val="en-GB"/>
        </w:rPr>
        <w:t>CPH City &amp; Port Development</w:t>
      </w:r>
      <w:r w:rsidRPr="00F23DC3">
        <w:rPr>
          <w:rFonts w:cs="Arial"/>
          <w:lang w:val="en-GB"/>
        </w:rPr>
        <w:t xml:space="preserve"> is the client. In 2019, the goal regarding work accidents is to develop and implement a more systematic process, including requirements for descriptions of as well as actions in the event of work accidents or near misses.</w:t>
      </w:r>
    </w:p>
    <w:p w:rsidR="00C97A04" w:rsidRPr="00F23DC3" w:rsidRDefault="00C97A04" w:rsidP="00C97A04">
      <w:pPr>
        <w:rPr>
          <w:rFonts w:cs="Arial"/>
          <w:lang w:val="en-GB"/>
        </w:rPr>
      </w:pPr>
    </w:p>
    <w:tbl>
      <w:tblPr>
        <w:tblStyle w:val="Tabel-Gitter"/>
        <w:tblW w:w="7450" w:type="dxa"/>
        <w:tblInd w:w="137" w:type="dxa"/>
        <w:tblLayout w:type="fixed"/>
        <w:tblLook w:val="04A0" w:firstRow="1" w:lastRow="0" w:firstColumn="1" w:lastColumn="0" w:noHBand="0" w:noVBand="1"/>
      </w:tblPr>
      <w:tblGrid>
        <w:gridCol w:w="3765"/>
        <w:gridCol w:w="3685"/>
      </w:tblGrid>
      <w:tr w:rsidR="00C97A04" w:rsidRPr="00F23DC3" w:rsidTr="007942C0">
        <w:tc>
          <w:tcPr>
            <w:tcW w:w="3765" w:type="dxa"/>
            <w:shd w:val="clear" w:color="auto" w:fill="F2F2F2" w:themeFill="background1" w:themeFillShade="F2"/>
          </w:tcPr>
          <w:p w:rsidR="00C97A04" w:rsidRPr="00F23DC3" w:rsidRDefault="00C97A04" w:rsidP="007942C0">
            <w:pPr>
              <w:rPr>
                <w:rFonts w:cs="Arial"/>
                <w:lang w:val="en-GB"/>
              </w:rPr>
            </w:pPr>
            <w:r w:rsidRPr="00F23DC3">
              <w:rPr>
                <w:rFonts w:cs="Arial"/>
                <w:lang w:val="en-GB"/>
              </w:rPr>
              <w:t>Goals for 2018</w:t>
            </w:r>
          </w:p>
        </w:tc>
        <w:tc>
          <w:tcPr>
            <w:tcW w:w="3685" w:type="dxa"/>
            <w:shd w:val="clear" w:color="auto" w:fill="F2F2F2" w:themeFill="background1" w:themeFillShade="F2"/>
          </w:tcPr>
          <w:p w:rsidR="00C97A04" w:rsidRPr="00F23DC3" w:rsidRDefault="00C97A04" w:rsidP="007942C0">
            <w:pPr>
              <w:rPr>
                <w:rFonts w:cs="Arial"/>
                <w:lang w:val="en-GB"/>
              </w:rPr>
            </w:pPr>
            <w:r w:rsidRPr="00F23DC3">
              <w:rPr>
                <w:rFonts w:cs="Arial"/>
                <w:lang w:val="en-GB"/>
              </w:rPr>
              <w:t>Status of actions</w:t>
            </w:r>
          </w:p>
        </w:tc>
      </w:tr>
      <w:tr w:rsidR="00C97A04" w:rsidRPr="00F23DC3" w:rsidTr="007942C0">
        <w:tc>
          <w:tcPr>
            <w:tcW w:w="3765" w:type="dxa"/>
          </w:tcPr>
          <w:p w:rsidR="00C97A04" w:rsidRPr="00F23DC3" w:rsidRDefault="00C97A04" w:rsidP="007942C0">
            <w:pPr>
              <w:rPr>
                <w:rFonts w:cs="Arial"/>
                <w:lang w:val="en-GB"/>
              </w:rPr>
            </w:pPr>
            <w:r w:rsidRPr="00F23DC3">
              <w:rPr>
                <w:rFonts w:cs="Arial"/>
                <w:lang w:val="en-GB"/>
              </w:rPr>
              <w:lastRenderedPageBreak/>
              <w:t>Mapping of the company's physical and mental working environments (APV).</w:t>
            </w:r>
          </w:p>
        </w:tc>
        <w:tc>
          <w:tcPr>
            <w:tcW w:w="3685" w:type="dxa"/>
          </w:tcPr>
          <w:p w:rsidR="00C97A04" w:rsidRPr="00F23DC3" w:rsidRDefault="00C97A04" w:rsidP="007942C0">
            <w:pPr>
              <w:rPr>
                <w:rFonts w:cs="Arial"/>
                <w:lang w:val="en-GB"/>
              </w:rPr>
            </w:pPr>
            <w:r w:rsidRPr="00F23DC3">
              <w:rPr>
                <w:rFonts w:cs="Arial"/>
                <w:lang w:val="en-GB"/>
              </w:rPr>
              <w:t>Achieved</w:t>
            </w:r>
          </w:p>
        </w:tc>
      </w:tr>
      <w:tr w:rsidR="00C97A04" w:rsidRPr="00F23DC3" w:rsidTr="007942C0">
        <w:tc>
          <w:tcPr>
            <w:tcW w:w="3765" w:type="dxa"/>
          </w:tcPr>
          <w:p w:rsidR="00C97A04" w:rsidRPr="00F23DC3" w:rsidRDefault="00C97A04" w:rsidP="007942C0">
            <w:pPr>
              <w:rPr>
                <w:rFonts w:cs="Arial"/>
                <w:lang w:val="en-GB"/>
              </w:rPr>
            </w:pPr>
            <w:r w:rsidRPr="00F23DC3">
              <w:rPr>
                <w:rFonts w:cs="Arial"/>
                <w:lang w:val="en-GB"/>
              </w:rPr>
              <w:t>New action plan for the company's physical and mental working environments.</w:t>
            </w:r>
          </w:p>
        </w:tc>
        <w:tc>
          <w:tcPr>
            <w:tcW w:w="3685" w:type="dxa"/>
          </w:tcPr>
          <w:p w:rsidR="00C97A04" w:rsidRPr="00F23DC3" w:rsidRDefault="00C97A04" w:rsidP="007942C0">
            <w:pPr>
              <w:rPr>
                <w:rFonts w:cs="Arial"/>
                <w:lang w:val="en-GB"/>
              </w:rPr>
            </w:pPr>
            <w:r w:rsidRPr="00F23DC3">
              <w:rPr>
                <w:rFonts w:cs="Arial"/>
                <w:lang w:val="en-GB"/>
              </w:rPr>
              <w:t>Achieved</w:t>
            </w:r>
          </w:p>
        </w:tc>
      </w:tr>
    </w:tbl>
    <w:p w:rsidR="00C97A04" w:rsidRPr="00F23DC3" w:rsidRDefault="00C97A04" w:rsidP="00C97A04">
      <w:pPr>
        <w:rPr>
          <w:rFonts w:cs="Arial"/>
          <w:lang w:val="en-GB"/>
        </w:rPr>
      </w:pPr>
    </w:p>
    <w:tbl>
      <w:tblPr>
        <w:tblStyle w:val="Tabel-Gitter"/>
        <w:tblW w:w="7450" w:type="dxa"/>
        <w:tblInd w:w="137" w:type="dxa"/>
        <w:tblLayout w:type="fixed"/>
        <w:tblLook w:val="04A0" w:firstRow="1" w:lastRow="0" w:firstColumn="1" w:lastColumn="0" w:noHBand="0" w:noVBand="1"/>
      </w:tblPr>
      <w:tblGrid>
        <w:gridCol w:w="3765"/>
        <w:gridCol w:w="3685"/>
      </w:tblGrid>
      <w:tr w:rsidR="00C97A04" w:rsidRPr="00F23DC3" w:rsidTr="007942C0">
        <w:tc>
          <w:tcPr>
            <w:tcW w:w="3765" w:type="dxa"/>
            <w:shd w:val="clear" w:color="auto" w:fill="F2F2F2" w:themeFill="background1" w:themeFillShade="F2"/>
          </w:tcPr>
          <w:p w:rsidR="00C97A04" w:rsidRPr="00F23DC3" w:rsidRDefault="00C97A04" w:rsidP="007942C0">
            <w:pPr>
              <w:rPr>
                <w:rFonts w:cs="Arial"/>
                <w:lang w:val="en-GB"/>
              </w:rPr>
            </w:pPr>
            <w:r w:rsidRPr="00F23DC3">
              <w:rPr>
                <w:rFonts w:cs="Arial"/>
                <w:lang w:val="en-GB"/>
              </w:rPr>
              <w:t>Goals for 2019</w:t>
            </w:r>
          </w:p>
        </w:tc>
        <w:tc>
          <w:tcPr>
            <w:tcW w:w="3685" w:type="dxa"/>
            <w:shd w:val="clear" w:color="auto" w:fill="F2F2F2" w:themeFill="background1" w:themeFillShade="F2"/>
          </w:tcPr>
          <w:p w:rsidR="00C97A04" w:rsidRPr="00F23DC3" w:rsidRDefault="00C97A04" w:rsidP="007942C0">
            <w:pPr>
              <w:rPr>
                <w:rFonts w:cs="Arial"/>
                <w:lang w:val="en-GB"/>
              </w:rPr>
            </w:pPr>
            <w:r w:rsidRPr="00F23DC3">
              <w:rPr>
                <w:rFonts w:cs="Arial"/>
                <w:lang w:val="en-GB"/>
              </w:rPr>
              <w:t>Status of actions</w:t>
            </w:r>
          </w:p>
        </w:tc>
      </w:tr>
      <w:tr w:rsidR="00C97A04" w:rsidRPr="00F23DC3" w:rsidTr="007942C0">
        <w:tc>
          <w:tcPr>
            <w:tcW w:w="3765" w:type="dxa"/>
          </w:tcPr>
          <w:p w:rsidR="00C97A04" w:rsidRPr="00F23DC3" w:rsidRDefault="00C97A04" w:rsidP="007942C0">
            <w:pPr>
              <w:rPr>
                <w:rFonts w:cs="Arial"/>
                <w:lang w:val="en-GB"/>
              </w:rPr>
            </w:pPr>
            <w:r w:rsidRPr="00F23DC3">
              <w:rPr>
                <w:rFonts w:cs="Arial"/>
                <w:lang w:val="en-GB"/>
              </w:rPr>
              <w:t>To ensure that the company's adopted efforts in accordance with the action plan for the physical and mental working environments are implemented and performed</w:t>
            </w:r>
          </w:p>
        </w:tc>
        <w:tc>
          <w:tcPr>
            <w:tcW w:w="3685" w:type="dxa"/>
          </w:tcPr>
          <w:p w:rsidR="00C97A04" w:rsidRPr="00F23DC3" w:rsidRDefault="00C97A04" w:rsidP="007942C0">
            <w:pPr>
              <w:rPr>
                <w:rFonts w:cs="Arial"/>
                <w:lang w:val="en-GB"/>
              </w:rPr>
            </w:pPr>
            <w:r w:rsidRPr="00F23DC3">
              <w:rPr>
                <w:rFonts w:cs="Arial"/>
                <w:lang w:val="en-GB"/>
              </w:rPr>
              <w:t>To be implemented during 2019/2020.</w:t>
            </w:r>
          </w:p>
        </w:tc>
      </w:tr>
      <w:tr w:rsidR="00C97A04" w:rsidRPr="00F23DC3" w:rsidTr="007942C0">
        <w:tc>
          <w:tcPr>
            <w:tcW w:w="3765" w:type="dxa"/>
          </w:tcPr>
          <w:p w:rsidR="00C97A04" w:rsidRPr="00F23DC3" w:rsidRDefault="00C97A04" w:rsidP="007942C0">
            <w:pPr>
              <w:rPr>
                <w:rFonts w:cs="Arial"/>
                <w:highlight w:val="yellow"/>
                <w:lang w:val="en-GB"/>
              </w:rPr>
            </w:pPr>
            <w:r w:rsidRPr="00F23DC3">
              <w:rPr>
                <w:rFonts w:cs="Arial"/>
                <w:lang w:val="en-GB"/>
              </w:rPr>
              <w:t>Development and implementation of a mapping and action process in the event of work accidents and/or near misses</w:t>
            </w:r>
          </w:p>
        </w:tc>
        <w:tc>
          <w:tcPr>
            <w:tcW w:w="3685" w:type="dxa"/>
          </w:tcPr>
          <w:p w:rsidR="00C97A04" w:rsidRPr="00F23DC3" w:rsidRDefault="00C97A04" w:rsidP="007942C0">
            <w:pPr>
              <w:rPr>
                <w:rFonts w:cs="Arial"/>
                <w:highlight w:val="yellow"/>
                <w:lang w:val="en-GB"/>
              </w:rPr>
            </w:pPr>
            <w:r w:rsidRPr="00F23DC3">
              <w:rPr>
                <w:rFonts w:cs="Arial"/>
                <w:lang w:val="en-GB"/>
              </w:rPr>
              <w:t>To be implemented in 2019</w:t>
            </w:r>
          </w:p>
        </w:tc>
      </w:tr>
    </w:tbl>
    <w:p w:rsidR="00C97A04" w:rsidRPr="00F23DC3" w:rsidRDefault="00C97A04" w:rsidP="00C97A04">
      <w:pPr>
        <w:autoSpaceDE w:val="0"/>
        <w:autoSpaceDN w:val="0"/>
        <w:adjustRightInd w:val="0"/>
        <w:rPr>
          <w:rFonts w:cs="Arial"/>
          <w:lang w:val="en-GB"/>
        </w:rPr>
      </w:pPr>
    </w:p>
    <w:p w:rsidR="00C97A04" w:rsidRPr="00F23DC3" w:rsidRDefault="00C97A04" w:rsidP="00C97A04">
      <w:pPr>
        <w:autoSpaceDE w:val="0"/>
        <w:autoSpaceDN w:val="0"/>
        <w:adjustRightInd w:val="0"/>
        <w:rPr>
          <w:rFonts w:cs="Arial"/>
          <w:lang w:val="en-GB"/>
        </w:rPr>
      </w:pPr>
    </w:p>
    <w:p w:rsidR="00C97A04" w:rsidRPr="00F23DC3" w:rsidRDefault="00C97A04" w:rsidP="00C97A04">
      <w:pPr>
        <w:pStyle w:val="Overskrift4"/>
        <w:rPr>
          <w:lang w:val="en-GB"/>
        </w:rPr>
      </w:pPr>
      <w:r w:rsidRPr="00F23DC3">
        <w:rPr>
          <w:lang w:val="en-GB"/>
        </w:rPr>
        <w:t>Sickness absence</w:t>
      </w:r>
    </w:p>
    <w:p w:rsidR="00C97A04" w:rsidRPr="00F23DC3" w:rsidRDefault="00C97A04" w:rsidP="00C97A04">
      <w:pPr>
        <w:autoSpaceDE w:val="0"/>
        <w:autoSpaceDN w:val="0"/>
        <w:adjustRightInd w:val="0"/>
        <w:rPr>
          <w:rFonts w:cs="Arial"/>
          <w:lang w:val="en-GB"/>
        </w:rPr>
      </w:pPr>
      <w:r w:rsidRPr="00F23DC3">
        <w:rPr>
          <w:rFonts w:cs="Arial"/>
          <w:lang w:val="en-GB"/>
        </w:rPr>
        <w:t xml:space="preserve">Focus is on the company's sickness absence through a dialogue with the employees, the Liaison Committee and continuous visualisation of the company's sickness absence </w:t>
      </w:r>
      <w:r w:rsidR="00B8035C">
        <w:rPr>
          <w:rFonts w:cs="Arial"/>
          <w:lang w:val="en-GB"/>
        </w:rPr>
        <w:t>CPH City &amp; Port Development</w:t>
      </w:r>
      <w:r w:rsidRPr="00F23DC3">
        <w:rPr>
          <w:rFonts w:cs="Arial"/>
          <w:lang w:val="en-GB"/>
        </w:rPr>
        <w:t xml:space="preserve"> wants to prevent stress-related illness, long-term absence from work etc. An annual statement regarding own illness and child's illness will be sent to all employees.</w:t>
      </w:r>
    </w:p>
    <w:p w:rsidR="00C97A04" w:rsidRPr="00F23DC3" w:rsidRDefault="00C97A04" w:rsidP="00C97A04">
      <w:pPr>
        <w:autoSpaceDE w:val="0"/>
        <w:autoSpaceDN w:val="0"/>
        <w:adjustRightInd w:val="0"/>
        <w:rPr>
          <w:rFonts w:cs="Arial"/>
          <w:lang w:val="en-GB"/>
        </w:rPr>
      </w:pPr>
    </w:p>
    <w:p w:rsidR="00C97A04" w:rsidRPr="00F23DC3" w:rsidRDefault="00C97A04" w:rsidP="00C97A04">
      <w:pPr>
        <w:rPr>
          <w:rFonts w:cs="Arial"/>
          <w:lang w:val="en-GB"/>
        </w:rPr>
      </w:pPr>
      <w:r w:rsidRPr="00F23DC3">
        <w:rPr>
          <w:rFonts w:cs="Arial"/>
          <w:lang w:val="en-GB"/>
        </w:rPr>
        <w:t>In 2018, the average absence was 2.7 per cent which is below the company's objective. Like previous years, the objective for 2018 was determined on the basis of the absence percentage of own illness of Danish Industry (DI) (2016) which means that the objective for 2018 was 3.1 per cent. In comparison, the average sickness absence was 3.9 per cent in 2017.</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For 2019, the level will again be determined on the basis of DI's absence percentage of own illness which remains at 3.1 per cent. (2017).</w:t>
      </w:r>
    </w:p>
    <w:p w:rsidR="00C97A04" w:rsidRPr="00F23DC3" w:rsidRDefault="00C97A04" w:rsidP="00C97A04">
      <w:pPr>
        <w:rPr>
          <w:rFonts w:cs="Arial"/>
          <w:lang w:val="en-GB"/>
        </w:rPr>
      </w:pPr>
    </w:p>
    <w:p w:rsidR="00C97A04" w:rsidRPr="00F23DC3" w:rsidRDefault="00C97A04" w:rsidP="00C97A04">
      <w:pPr>
        <w:rPr>
          <w:rFonts w:cs="Arial"/>
          <w:lang w:val="en-GB"/>
        </w:rPr>
      </w:pPr>
    </w:p>
    <w:p w:rsidR="00C97A04" w:rsidRPr="00F23DC3" w:rsidRDefault="00C97A04" w:rsidP="00C97A04">
      <w:pPr>
        <w:pStyle w:val="Overskrift3"/>
        <w:rPr>
          <w:lang w:val="en-GB"/>
        </w:rPr>
      </w:pPr>
      <w:r w:rsidRPr="00F23DC3">
        <w:rPr>
          <w:lang w:val="en-GB"/>
        </w:rPr>
        <w:t>Labour rights</w:t>
      </w: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wants to support labour rights where relevant and possible for the company. </w:t>
      </w:r>
      <w:r>
        <w:rPr>
          <w:rFonts w:cs="Arial"/>
          <w:lang w:val="en-GB"/>
        </w:rPr>
        <w:t>CPH City &amp; Port Development</w:t>
      </w:r>
      <w:r w:rsidR="00C97A04" w:rsidRPr="00F23DC3">
        <w:rPr>
          <w:rFonts w:cs="Arial"/>
          <w:lang w:val="en-GB"/>
        </w:rPr>
        <w:t xml:space="preserve"> has chosen to focus its labour rights efforts in terms of requirements for the company's suppliers and upgrading of employee skills.</w:t>
      </w:r>
    </w:p>
    <w:p w:rsidR="00C97A04" w:rsidRPr="00F23DC3" w:rsidRDefault="00C97A04" w:rsidP="00C97A04">
      <w:pPr>
        <w:rPr>
          <w:lang w:val="en-GB"/>
        </w:rPr>
      </w:pPr>
    </w:p>
    <w:p w:rsidR="00C97A04" w:rsidRPr="00F23DC3" w:rsidRDefault="00C97A04" w:rsidP="00C97A04">
      <w:pPr>
        <w:rPr>
          <w:rFonts w:cs="Arial"/>
          <w:lang w:val="en-GB"/>
        </w:rPr>
      </w:pPr>
      <w:r w:rsidRPr="00F23DC3">
        <w:rPr>
          <w:rFonts w:cs="Arial"/>
          <w:lang w:val="en-GB"/>
        </w:rPr>
        <w:t xml:space="preserve">It is important for </w:t>
      </w:r>
      <w:r w:rsidR="00B8035C">
        <w:rPr>
          <w:rFonts w:cs="Arial"/>
          <w:lang w:val="en-GB"/>
        </w:rPr>
        <w:t>CPH City &amp; Port Development</w:t>
      </w:r>
      <w:r w:rsidRPr="00F23DC3">
        <w:rPr>
          <w:rFonts w:cs="Arial"/>
          <w:lang w:val="en-GB"/>
        </w:rPr>
        <w:t xml:space="preserve"> to help ensure good conditions of employment for the employees at our suppliers and consequently, </w:t>
      </w:r>
      <w:r w:rsidR="00B8035C">
        <w:rPr>
          <w:rFonts w:cs="Arial"/>
          <w:lang w:val="en-GB"/>
        </w:rPr>
        <w:t>CPH City &amp; Port Development</w:t>
      </w:r>
      <w:r w:rsidRPr="00F23DC3">
        <w:rPr>
          <w:rFonts w:cs="Arial"/>
          <w:lang w:val="en-GB"/>
        </w:rPr>
        <w:t xml:space="preserve"> integrates labour clauses when entering into major construction contracts.</w:t>
      </w:r>
    </w:p>
    <w:p w:rsidR="00C97A04" w:rsidRPr="00F23DC3" w:rsidRDefault="00C97A04" w:rsidP="00C97A04">
      <w:pPr>
        <w:rPr>
          <w:rFonts w:cs="Arial"/>
          <w:lang w:val="en-GB"/>
        </w:rPr>
      </w:pP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considers its employees to be the key resource to achieving the company's goals. Consequently, </w:t>
      </w:r>
      <w:r>
        <w:rPr>
          <w:rFonts w:cs="Arial"/>
          <w:lang w:val="en-GB"/>
        </w:rPr>
        <w:t>CPH City &amp; Port Development</w:t>
      </w:r>
      <w:r w:rsidR="00C97A04" w:rsidRPr="00F23DC3">
        <w:rPr>
          <w:rFonts w:cs="Arial"/>
          <w:lang w:val="en-GB"/>
        </w:rPr>
        <w:t xml:space="preserve"> emphasises the recruitment of qualified labour and the development and retention of employees. Moreover, the company emphasises contributing to a highly qualified labour market. The measures taken include temporary employments, such as apprentices, and requirements for the number of employed apprentices/trainees in all relevant calls for tenders regarding building and construction projects and services.</w:t>
      </w:r>
    </w:p>
    <w:p w:rsidR="00C97A04" w:rsidRPr="00F23DC3" w:rsidRDefault="00C97A04" w:rsidP="00C97A04">
      <w:pPr>
        <w:rPr>
          <w:lang w:val="en-GB"/>
        </w:rPr>
      </w:pPr>
    </w:p>
    <w:p w:rsidR="00C97A04" w:rsidRPr="00F23DC3" w:rsidRDefault="00C97A04" w:rsidP="00C97A04">
      <w:pPr>
        <w:pStyle w:val="Overskrift4"/>
        <w:rPr>
          <w:lang w:val="en-GB"/>
        </w:rPr>
      </w:pPr>
      <w:r w:rsidRPr="00F23DC3">
        <w:rPr>
          <w:lang w:val="en-GB"/>
        </w:rPr>
        <w:lastRenderedPageBreak/>
        <w:t>Labour clauses</w:t>
      </w: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helps ensure fair pay, working hours and other terms of employment for labour by requiring terms of pay and work (labour clauses) in all relevant calls for tenders regarding building and construction projects and services with a threshold value exceeding DKK 1 million. The use of labour clauses is regulated in </w:t>
      </w:r>
      <w:r>
        <w:rPr>
          <w:rFonts w:cs="Arial"/>
          <w:lang w:val="en-GB"/>
        </w:rPr>
        <w:t>CPH City &amp; Port Development</w:t>
      </w:r>
      <w:r w:rsidR="00C97A04" w:rsidRPr="00F23DC3">
        <w:rPr>
          <w:rFonts w:cs="Arial"/>
          <w:lang w:val="en-GB"/>
        </w:rPr>
        <w:t>'s "Policy of labour clauses".</w:t>
      </w:r>
    </w:p>
    <w:p w:rsidR="00C97A04" w:rsidRPr="00F23DC3" w:rsidRDefault="00C97A04" w:rsidP="00C97A04">
      <w:pPr>
        <w:rPr>
          <w:rFonts w:cs="Arial"/>
          <w:lang w:val="en-GB"/>
        </w:rPr>
      </w:pPr>
      <w:r w:rsidRPr="00F23DC3">
        <w:rPr>
          <w:rFonts w:cs="Arial"/>
          <w:lang w:val="en-GB"/>
        </w:rPr>
        <w:br/>
        <w:t>In order to ensure continuous compliance with the labour clauses, internal checks will be performed in addition to two annual external audits performed by an impartial body.</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In 2018, the audits found one deviation in a contract. In this connection, a subcontractor underpaid an employee which is a material violation of the labour clause.</w:t>
      </w:r>
    </w:p>
    <w:p w:rsidR="00C97A04" w:rsidRPr="00F23DC3" w:rsidRDefault="00C97A04" w:rsidP="00C97A04">
      <w:pPr>
        <w:autoSpaceDE w:val="0"/>
        <w:autoSpaceDN w:val="0"/>
        <w:adjustRightInd w:val="0"/>
        <w:rPr>
          <w:rFonts w:cs="Arial"/>
          <w:lang w:val="en-GB"/>
        </w:rPr>
      </w:pPr>
    </w:p>
    <w:p w:rsidR="00C97A04" w:rsidRPr="00F23DC3" w:rsidRDefault="00C97A04" w:rsidP="00C97A04">
      <w:pPr>
        <w:pStyle w:val="Overskrift4"/>
        <w:rPr>
          <w:szCs w:val="20"/>
          <w:lang w:val="en-GB"/>
        </w:rPr>
      </w:pPr>
      <w:r w:rsidRPr="00F23DC3">
        <w:rPr>
          <w:szCs w:val="20"/>
          <w:lang w:val="en-GB"/>
        </w:rPr>
        <w:t>Social clauses</w:t>
      </w: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helps upgrading employee skills by means of social clauses in agreements/contracts with contractors. </w:t>
      </w:r>
      <w:r>
        <w:rPr>
          <w:rFonts w:cs="Arial"/>
          <w:lang w:val="en-GB"/>
        </w:rPr>
        <w:t>CPH City &amp; Port Development</w:t>
      </w:r>
      <w:r w:rsidR="00C97A04" w:rsidRPr="00F23DC3">
        <w:rPr>
          <w:rFonts w:cs="Arial"/>
          <w:lang w:val="en-GB"/>
        </w:rPr>
        <w:t xml:space="preserve"> ensures that responsibility is taken for educating society's future labour by entering into social clauses in all relevant building, construction and services contracts. The use of social clauses has been regulated in </w:t>
      </w:r>
      <w:r>
        <w:rPr>
          <w:rFonts w:cs="Arial"/>
          <w:lang w:val="en-GB"/>
        </w:rPr>
        <w:t>CPH City &amp; Port Development</w:t>
      </w:r>
      <w:r w:rsidR="00C97A04" w:rsidRPr="00F23DC3">
        <w:rPr>
          <w:rFonts w:cs="Arial"/>
          <w:lang w:val="en-GB"/>
        </w:rPr>
        <w:t>'s "Social clause policy".</w:t>
      </w:r>
    </w:p>
    <w:p w:rsidR="00C97A04" w:rsidRPr="00F23DC3" w:rsidRDefault="00C97A04" w:rsidP="00C97A04">
      <w:pPr>
        <w:rPr>
          <w:rFonts w:cs="Arial"/>
          <w:color w:val="7030A0"/>
          <w:lang w:val="en-GB"/>
        </w:rPr>
      </w:pPr>
    </w:p>
    <w:p w:rsidR="00C97A04" w:rsidRPr="00F23DC3" w:rsidRDefault="00C97A04" w:rsidP="00C97A04">
      <w:pPr>
        <w:rPr>
          <w:rFonts w:cs="Arial"/>
          <w:lang w:val="en-GB"/>
        </w:rPr>
      </w:pPr>
      <w:r w:rsidRPr="00F23DC3">
        <w:rPr>
          <w:rFonts w:cs="Arial"/>
          <w:lang w:val="en-GB"/>
        </w:rPr>
        <w:t>Compliance with social clauses will be ensured by means of internal checks, for example in connection with building and follow-up meetings.</w:t>
      </w:r>
    </w:p>
    <w:p w:rsidR="00C97A04" w:rsidRPr="00F23DC3" w:rsidRDefault="00C97A04" w:rsidP="00C97A04">
      <w:pPr>
        <w:rPr>
          <w:rFonts w:cs="Arial"/>
          <w:lang w:val="en-GB"/>
        </w:rPr>
      </w:pP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also ensures that the clauses will be implemented in associated companies to the extent allowed by the company structure. The clauses form part of the contractual basis between </w:t>
      </w:r>
      <w:r>
        <w:rPr>
          <w:rFonts w:cs="Arial"/>
          <w:lang w:val="en-GB"/>
        </w:rPr>
        <w:t>CPH City &amp; Port Development</w:t>
      </w:r>
      <w:r w:rsidR="00C97A04" w:rsidRPr="00F23DC3">
        <w:rPr>
          <w:rFonts w:cs="Arial"/>
          <w:lang w:val="en-GB"/>
        </w:rPr>
        <w:t xml:space="preserve"> and the associated company in question.</w:t>
      </w:r>
    </w:p>
    <w:p w:rsidR="00C97A04" w:rsidRPr="00F23DC3" w:rsidRDefault="00C97A04" w:rsidP="00C97A04">
      <w:pPr>
        <w:rPr>
          <w:rFonts w:cs="Arial"/>
          <w:lang w:val="en-GB"/>
        </w:rPr>
      </w:pPr>
    </w:p>
    <w:p w:rsidR="00C97A04" w:rsidRPr="00F23DC3" w:rsidRDefault="00C97A04" w:rsidP="00C97A04">
      <w:pPr>
        <w:rPr>
          <w:rFonts w:cs="Arial"/>
          <w:lang w:val="en-GB"/>
        </w:rPr>
      </w:pPr>
    </w:p>
    <w:p w:rsidR="00C97A04" w:rsidRPr="00F23DC3" w:rsidRDefault="00C97A04" w:rsidP="00C97A04">
      <w:pPr>
        <w:rPr>
          <w:rFonts w:cs="Arial"/>
          <w:lang w:val="en-GB"/>
        </w:rPr>
      </w:pPr>
    </w:p>
    <w:tbl>
      <w:tblPr>
        <w:tblStyle w:val="Tabel-Gitter"/>
        <w:tblW w:w="7513" w:type="dxa"/>
        <w:tblInd w:w="108" w:type="dxa"/>
        <w:tblLayout w:type="fixed"/>
        <w:tblLook w:val="04A0" w:firstRow="1" w:lastRow="0" w:firstColumn="1" w:lastColumn="0" w:noHBand="0" w:noVBand="1"/>
      </w:tblPr>
      <w:tblGrid>
        <w:gridCol w:w="3794"/>
        <w:gridCol w:w="3719"/>
      </w:tblGrid>
      <w:tr w:rsidR="00C97A04" w:rsidRPr="00F23DC3" w:rsidTr="007942C0">
        <w:tc>
          <w:tcPr>
            <w:tcW w:w="3794"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Goals for 2018</w:t>
            </w:r>
          </w:p>
        </w:tc>
        <w:tc>
          <w:tcPr>
            <w:tcW w:w="3719"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Status of actions</w:t>
            </w:r>
          </w:p>
        </w:tc>
      </w:tr>
      <w:tr w:rsidR="00C97A04" w:rsidRPr="00F23DC3" w:rsidTr="007942C0">
        <w:tc>
          <w:tcPr>
            <w:tcW w:w="3794" w:type="dxa"/>
          </w:tcPr>
          <w:p w:rsidR="00C97A04" w:rsidRPr="00F23DC3" w:rsidRDefault="00C97A04" w:rsidP="007942C0">
            <w:pPr>
              <w:rPr>
                <w:rFonts w:cs="Arial"/>
                <w:lang w:val="en-GB"/>
              </w:rPr>
            </w:pPr>
            <w:r w:rsidRPr="00F23DC3">
              <w:rPr>
                <w:rFonts w:cs="Arial"/>
                <w:lang w:val="en-GB"/>
              </w:rPr>
              <w:t>Social clauses in relevant calls for tenders and labour clauses for major calls for tenders.</w:t>
            </w:r>
          </w:p>
        </w:tc>
        <w:tc>
          <w:tcPr>
            <w:tcW w:w="3719" w:type="dxa"/>
          </w:tcPr>
          <w:p w:rsidR="00C97A04" w:rsidRPr="00F23DC3" w:rsidRDefault="00C97A04" w:rsidP="007942C0">
            <w:pPr>
              <w:rPr>
                <w:rFonts w:cs="Arial"/>
                <w:szCs w:val="20"/>
                <w:lang w:val="en-GB"/>
              </w:rPr>
            </w:pPr>
            <w:r w:rsidRPr="00F23DC3">
              <w:rPr>
                <w:rFonts w:cs="Arial"/>
                <w:lang w:val="en-GB"/>
              </w:rPr>
              <w:t>Achieved</w:t>
            </w:r>
          </w:p>
        </w:tc>
      </w:tr>
      <w:tr w:rsidR="00C97A04" w:rsidRPr="00F23DC3" w:rsidTr="007942C0">
        <w:tc>
          <w:tcPr>
            <w:tcW w:w="3794" w:type="dxa"/>
          </w:tcPr>
          <w:p w:rsidR="00C97A04" w:rsidRPr="00F23DC3" w:rsidRDefault="00C97A04" w:rsidP="007942C0">
            <w:pPr>
              <w:rPr>
                <w:rFonts w:cs="Arial"/>
                <w:lang w:val="en-GB"/>
              </w:rPr>
            </w:pPr>
            <w:r w:rsidRPr="00F23DC3">
              <w:rPr>
                <w:rFonts w:cs="Arial"/>
                <w:lang w:val="en-GB"/>
              </w:rPr>
              <w:t>To implement audits regarding labour clauses for relevant and major calls for tenders.</w:t>
            </w:r>
          </w:p>
        </w:tc>
        <w:tc>
          <w:tcPr>
            <w:tcW w:w="3719" w:type="dxa"/>
          </w:tcPr>
          <w:p w:rsidR="00C97A04" w:rsidRPr="00F23DC3" w:rsidRDefault="00C97A04" w:rsidP="007942C0">
            <w:pPr>
              <w:rPr>
                <w:rFonts w:cs="Arial"/>
                <w:lang w:val="en-GB"/>
              </w:rPr>
            </w:pPr>
            <w:r w:rsidRPr="00F23DC3">
              <w:rPr>
                <w:rFonts w:cs="Arial"/>
                <w:lang w:val="en-GB"/>
              </w:rPr>
              <w:t>Achieved</w:t>
            </w:r>
          </w:p>
        </w:tc>
      </w:tr>
    </w:tbl>
    <w:p w:rsidR="00C97A04" w:rsidRPr="00F23DC3" w:rsidRDefault="00C97A04" w:rsidP="00C97A04">
      <w:pPr>
        <w:rPr>
          <w:rFonts w:cs="Arial"/>
          <w:lang w:val="en-GB"/>
        </w:rPr>
      </w:pPr>
    </w:p>
    <w:tbl>
      <w:tblPr>
        <w:tblStyle w:val="Tabel-Gitter"/>
        <w:tblW w:w="7513" w:type="dxa"/>
        <w:tblInd w:w="108" w:type="dxa"/>
        <w:tblLayout w:type="fixed"/>
        <w:tblLook w:val="04A0" w:firstRow="1" w:lastRow="0" w:firstColumn="1" w:lastColumn="0" w:noHBand="0" w:noVBand="1"/>
      </w:tblPr>
      <w:tblGrid>
        <w:gridCol w:w="3794"/>
        <w:gridCol w:w="3719"/>
      </w:tblGrid>
      <w:tr w:rsidR="00C97A04" w:rsidRPr="00F23DC3" w:rsidTr="007942C0">
        <w:tc>
          <w:tcPr>
            <w:tcW w:w="3794"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Goals for 2019</w:t>
            </w:r>
          </w:p>
        </w:tc>
        <w:tc>
          <w:tcPr>
            <w:tcW w:w="3719"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Status of actions</w:t>
            </w:r>
          </w:p>
        </w:tc>
      </w:tr>
      <w:tr w:rsidR="00C97A04" w:rsidRPr="00F23DC3" w:rsidTr="007942C0">
        <w:tc>
          <w:tcPr>
            <w:tcW w:w="3794" w:type="dxa"/>
          </w:tcPr>
          <w:p w:rsidR="00C97A04" w:rsidRPr="00F23DC3" w:rsidRDefault="00C97A04" w:rsidP="007942C0">
            <w:pPr>
              <w:rPr>
                <w:rFonts w:cs="Arial"/>
                <w:lang w:val="en-GB"/>
              </w:rPr>
            </w:pPr>
            <w:r w:rsidRPr="00F23DC3">
              <w:rPr>
                <w:rFonts w:cs="Arial"/>
                <w:lang w:val="en-GB"/>
              </w:rPr>
              <w:t>Social clauses in relevant calls for tenders and labour clauses for major calls for tenders.</w:t>
            </w:r>
          </w:p>
        </w:tc>
        <w:tc>
          <w:tcPr>
            <w:tcW w:w="3719" w:type="dxa"/>
          </w:tcPr>
          <w:p w:rsidR="00C97A04" w:rsidRPr="00F23DC3" w:rsidRDefault="00C97A04" w:rsidP="007942C0">
            <w:pPr>
              <w:rPr>
                <w:rFonts w:cs="Arial"/>
                <w:lang w:val="en-GB"/>
              </w:rPr>
            </w:pPr>
            <w:r w:rsidRPr="00F23DC3">
              <w:rPr>
                <w:rFonts w:cs="Arial"/>
                <w:lang w:val="en-GB"/>
              </w:rPr>
              <w:t>To be implemented during 2019.</w:t>
            </w:r>
          </w:p>
          <w:p w:rsidR="00C97A04" w:rsidRPr="00F23DC3" w:rsidRDefault="00C97A04" w:rsidP="007942C0">
            <w:pPr>
              <w:rPr>
                <w:rFonts w:cs="Arial"/>
                <w:szCs w:val="20"/>
                <w:lang w:val="en-GB"/>
              </w:rPr>
            </w:pPr>
          </w:p>
        </w:tc>
      </w:tr>
      <w:tr w:rsidR="00C97A04" w:rsidRPr="00F23DC3" w:rsidTr="007942C0">
        <w:tc>
          <w:tcPr>
            <w:tcW w:w="3794" w:type="dxa"/>
          </w:tcPr>
          <w:p w:rsidR="00C97A04" w:rsidRPr="00F23DC3" w:rsidRDefault="00C97A04" w:rsidP="007942C0">
            <w:pPr>
              <w:rPr>
                <w:rFonts w:cs="Arial"/>
                <w:lang w:val="en-GB"/>
              </w:rPr>
            </w:pPr>
            <w:r w:rsidRPr="00F23DC3">
              <w:rPr>
                <w:rFonts w:cs="Arial"/>
                <w:lang w:val="en-GB"/>
              </w:rPr>
              <w:t>To implement external audits regarding labour clauses for relevant and major calls for tenders.</w:t>
            </w:r>
          </w:p>
        </w:tc>
        <w:tc>
          <w:tcPr>
            <w:tcW w:w="3719" w:type="dxa"/>
          </w:tcPr>
          <w:p w:rsidR="00C97A04" w:rsidRPr="00F23DC3" w:rsidRDefault="00C97A04" w:rsidP="007942C0">
            <w:pPr>
              <w:rPr>
                <w:rFonts w:cs="Arial"/>
                <w:lang w:val="en-GB"/>
              </w:rPr>
            </w:pPr>
            <w:r w:rsidRPr="00F23DC3">
              <w:rPr>
                <w:rFonts w:cs="Arial"/>
                <w:lang w:val="en-GB"/>
              </w:rPr>
              <w:t>To be implemented during 2019.</w:t>
            </w:r>
          </w:p>
          <w:p w:rsidR="00C97A04" w:rsidRPr="00F23DC3" w:rsidRDefault="00C97A04" w:rsidP="007942C0">
            <w:pPr>
              <w:rPr>
                <w:rFonts w:cs="Arial"/>
                <w:lang w:val="en-GB"/>
              </w:rPr>
            </w:pPr>
          </w:p>
        </w:tc>
      </w:tr>
      <w:tr w:rsidR="00C97A04" w:rsidRPr="00F23DC3" w:rsidTr="007942C0">
        <w:tc>
          <w:tcPr>
            <w:tcW w:w="3794" w:type="dxa"/>
          </w:tcPr>
          <w:p w:rsidR="00C97A04" w:rsidRPr="00F23DC3" w:rsidRDefault="00C97A04" w:rsidP="007942C0">
            <w:pPr>
              <w:rPr>
                <w:rFonts w:cs="Arial"/>
                <w:lang w:val="en-GB"/>
              </w:rPr>
            </w:pPr>
            <w:r w:rsidRPr="00F23DC3">
              <w:rPr>
                <w:rFonts w:cs="Arial"/>
                <w:lang w:val="en-GB"/>
              </w:rPr>
              <w:t>To implement internal checks at building and follow-up meetings.</w:t>
            </w:r>
          </w:p>
        </w:tc>
        <w:tc>
          <w:tcPr>
            <w:tcW w:w="3719" w:type="dxa"/>
          </w:tcPr>
          <w:p w:rsidR="00C97A04" w:rsidRPr="00F23DC3" w:rsidRDefault="00C97A04" w:rsidP="007942C0">
            <w:pPr>
              <w:rPr>
                <w:rFonts w:cs="Arial"/>
                <w:lang w:val="en-GB"/>
              </w:rPr>
            </w:pPr>
            <w:r w:rsidRPr="00F23DC3">
              <w:rPr>
                <w:rFonts w:cs="Arial"/>
                <w:lang w:val="en-GB"/>
              </w:rPr>
              <w:t>To be implemented during 2019.</w:t>
            </w:r>
          </w:p>
        </w:tc>
      </w:tr>
    </w:tbl>
    <w:p w:rsidR="00C97A04" w:rsidRPr="00F23DC3" w:rsidRDefault="00C97A04" w:rsidP="00C97A04">
      <w:pPr>
        <w:rPr>
          <w:rFonts w:cs="Arial"/>
          <w:lang w:val="en-GB"/>
        </w:rPr>
      </w:pPr>
    </w:p>
    <w:p w:rsidR="00C97A04" w:rsidRPr="00F23DC3" w:rsidRDefault="00C97A04" w:rsidP="00C97A04">
      <w:pPr>
        <w:pStyle w:val="Overskrift4"/>
        <w:rPr>
          <w:lang w:val="en-GB"/>
        </w:rPr>
      </w:pPr>
      <w:r w:rsidRPr="00F23DC3">
        <w:rPr>
          <w:lang w:val="en-GB"/>
        </w:rPr>
        <w:t>Apprentices and trainees</w:t>
      </w:r>
    </w:p>
    <w:p w:rsidR="00C97A04" w:rsidRPr="00F23DC3" w:rsidRDefault="00B8035C" w:rsidP="00C97A04">
      <w:pPr>
        <w:autoSpaceDE w:val="0"/>
        <w:autoSpaceDN w:val="0"/>
        <w:adjustRightInd w:val="0"/>
        <w:rPr>
          <w:rFonts w:cs="Arial"/>
          <w:lang w:val="en-GB"/>
        </w:rPr>
      </w:pPr>
      <w:r>
        <w:rPr>
          <w:rFonts w:cs="Arial"/>
          <w:lang w:val="en-GB"/>
        </w:rPr>
        <w:t>CPH City &amp; Port Development</w:t>
      </w:r>
      <w:r w:rsidR="00C97A04" w:rsidRPr="00F23DC3">
        <w:rPr>
          <w:rFonts w:cs="Arial"/>
          <w:lang w:val="en-GB"/>
        </w:rPr>
        <w:t xml:space="preserve">'s objective is to continuously employ apprentices in temporary employments. Moreover, apprentices are employed to help upgrade the labour market. </w:t>
      </w:r>
    </w:p>
    <w:p w:rsidR="00C97A04" w:rsidRPr="00F23DC3" w:rsidRDefault="00C97A04" w:rsidP="00C97A04">
      <w:pPr>
        <w:autoSpaceDE w:val="0"/>
        <w:autoSpaceDN w:val="0"/>
        <w:adjustRightInd w:val="0"/>
        <w:rPr>
          <w:rFonts w:cs="Arial"/>
          <w:szCs w:val="20"/>
          <w:lang w:val="en-GB"/>
        </w:rPr>
      </w:pPr>
    </w:p>
    <w:tbl>
      <w:tblPr>
        <w:tblStyle w:val="Tabel-Gitter"/>
        <w:tblW w:w="5274" w:type="dxa"/>
        <w:tblInd w:w="108" w:type="dxa"/>
        <w:tblLayout w:type="fixed"/>
        <w:tblLook w:val="04A0" w:firstRow="1" w:lastRow="0" w:firstColumn="1" w:lastColumn="0" w:noHBand="0" w:noVBand="1"/>
      </w:tblPr>
      <w:tblGrid>
        <w:gridCol w:w="2528"/>
        <w:gridCol w:w="2746"/>
      </w:tblGrid>
      <w:tr w:rsidR="00C97A04" w:rsidRPr="00F23DC3" w:rsidTr="007942C0">
        <w:trPr>
          <w:trHeight w:val="117"/>
        </w:trPr>
        <w:tc>
          <w:tcPr>
            <w:tcW w:w="2528"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lastRenderedPageBreak/>
              <w:t>Goals for 2018</w:t>
            </w:r>
          </w:p>
        </w:tc>
        <w:tc>
          <w:tcPr>
            <w:tcW w:w="2746"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Status of actions in 2018</w:t>
            </w:r>
          </w:p>
        </w:tc>
      </w:tr>
      <w:tr w:rsidR="00C97A04" w:rsidRPr="00E95903" w:rsidTr="007942C0">
        <w:trPr>
          <w:trHeight w:val="352"/>
        </w:trPr>
        <w:tc>
          <w:tcPr>
            <w:tcW w:w="2528" w:type="dxa"/>
          </w:tcPr>
          <w:p w:rsidR="00C97A04" w:rsidRPr="00F23DC3" w:rsidRDefault="00C97A04" w:rsidP="007942C0">
            <w:pPr>
              <w:rPr>
                <w:rFonts w:cs="Arial"/>
                <w:lang w:val="en-GB"/>
              </w:rPr>
            </w:pPr>
            <w:r w:rsidRPr="00F23DC3">
              <w:rPr>
                <w:rFonts w:cs="Arial"/>
                <w:lang w:val="en-GB"/>
              </w:rPr>
              <w:t>One apprentice/trainee in course of training</w:t>
            </w:r>
          </w:p>
        </w:tc>
        <w:tc>
          <w:tcPr>
            <w:tcW w:w="2746" w:type="dxa"/>
          </w:tcPr>
          <w:p w:rsidR="00C97A04" w:rsidRPr="00F23DC3" w:rsidRDefault="00C97A04" w:rsidP="007942C0">
            <w:pPr>
              <w:rPr>
                <w:rFonts w:cs="Arial"/>
                <w:lang w:val="en-GB"/>
              </w:rPr>
            </w:pPr>
            <w:r w:rsidRPr="00F23DC3">
              <w:rPr>
                <w:rFonts w:cs="Arial"/>
                <w:lang w:val="en-GB"/>
              </w:rPr>
              <w:t>Achieved – one draughtsman apprentice and one finance apprentice</w:t>
            </w:r>
          </w:p>
        </w:tc>
      </w:tr>
      <w:tr w:rsidR="00C97A04" w:rsidRPr="00E95903" w:rsidTr="007942C0">
        <w:trPr>
          <w:trHeight w:val="464"/>
        </w:trPr>
        <w:tc>
          <w:tcPr>
            <w:tcW w:w="2528" w:type="dxa"/>
          </w:tcPr>
          <w:p w:rsidR="00C97A04" w:rsidRPr="00F23DC3" w:rsidRDefault="00C97A04" w:rsidP="007942C0">
            <w:pPr>
              <w:rPr>
                <w:rFonts w:cs="Arial"/>
                <w:lang w:val="en-GB"/>
              </w:rPr>
            </w:pPr>
            <w:r w:rsidRPr="00F23DC3">
              <w:rPr>
                <w:rFonts w:cs="Arial"/>
                <w:lang w:val="en-GB"/>
              </w:rPr>
              <w:t>Establishment of 2-3 temporary jobs (for example corporate trainee positions, wage subsidy etc.)</w:t>
            </w:r>
          </w:p>
        </w:tc>
        <w:tc>
          <w:tcPr>
            <w:tcW w:w="2746" w:type="dxa"/>
          </w:tcPr>
          <w:p w:rsidR="00C97A04" w:rsidRPr="00F23DC3" w:rsidRDefault="00C97A04" w:rsidP="007942C0">
            <w:pPr>
              <w:rPr>
                <w:rFonts w:cs="Arial"/>
                <w:lang w:val="en-GB"/>
              </w:rPr>
            </w:pPr>
            <w:r w:rsidRPr="00F23DC3">
              <w:rPr>
                <w:rFonts w:cs="Arial"/>
                <w:lang w:val="en-GB"/>
              </w:rPr>
              <w:t>Achieved – two company trainees, two employees in flexijobs</w:t>
            </w:r>
          </w:p>
        </w:tc>
      </w:tr>
    </w:tbl>
    <w:p w:rsidR="00C97A04" w:rsidRPr="00F23DC3" w:rsidRDefault="00C97A04" w:rsidP="00C97A04">
      <w:pPr>
        <w:rPr>
          <w:lang w:val="en-GB"/>
        </w:rPr>
      </w:pPr>
    </w:p>
    <w:p w:rsidR="00C97A04" w:rsidRPr="00F23DC3" w:rsidRDefault="00C97A04" w:rsidP="00C97A04">
      <w:pPr>
        <w:rPr>
          <w:rFonts w:cs="Arial"/>
          <w:lang w:val="en-GB"/>
        </w:rPr>
      </w:pPr>
    </w:p>
    <w:tbl>
      <w:tblPr>
        <w:tblStyle w:val="Tabel-Gitter"/>
        <w:tblW w:w="8001" w:type="dxa"/>
        <w:tblInd w:w="108" w:type="dxa"/>
        <w:tblLayout w:type="fixed"/>
        <w:tblLook w:val="04A0" w:firstRow="1" w:lastRow="0" w:firstColumn="1" w:lastColumn="0" w:noHBand="0" w:noVBand="1"/>
      </w:tblPr>
      <w:tblGrid>
        <w:gridCol w:w="4282"/>
        <w:gridCol w:w="3719"/>
      </w:tblGrid>
      <w:tr w:rsidR="00C97A04" w:rsidRPr="00F23DC3" w:rsidTr="007942C0">
        <w:tc>
          <w:tcPr>
            <w:tcW w:w="4282" w:type="dxa"/>
            <w:shd w:val="clear" w:color="auto" w:fill="F2F2F2" w:themeFill="background1" w:themeFillShade="F2"/>
          </w:tcPr>
          <w:p w:rsidR="00C97A04" w:rsidRPr="00F23DC3" w:rsidRDefault="00C97A04" w:rsidP="007942C0">
            <w:pPr>
              <w:rPr>
                <w:rFonts w:cs="Arial"/>
                <w:lang w:val="en-GB"/>
              </w:rPr>
            </w:pPr>
            <w:r w:rsidRPr="00F23DC3">
              <w:rPr>
                <w:rFonts w:cs="Arial"/>
                <w:lang w:val="en-GB"/>
              </w:rPr>
              <w:t>Goals for 2019</w:t>
            </w:r>
          </w:p>
        </w:tc>
        <w:tc>
          <w:tcPr>
            <w:tcW w:w="3719" w:type="dxa"/>
            <w:shd w:val="clear" w:color="auto" w:fill="F2F2F2" w:themeFill="background1" w:themeFillShade="F2"/>
          </w:tcPr>
          <w:p w:rsidR="00C97A04" w:rsidRPr="00F23DC3" w:rsidRDefault="00C97A04" w:rsidP="007942C0">
            <w:pPr>
              <w:rPr>
                <w:rFonts w:cs="Arial"/>
                <w:lang w:val="en-GB"/>
              </w:rPr>
            </w:pPr>
            <w:r w:rsidRPr="00F23DC3">
              <w:rPr>
                <w:rFonts w:cs="Arial"/>
                <w:lang w:val="en-GB"/>
              </w:rPr>
              <w:t>Status of actions</w:t>
            </w:r>
          </w:p>
        </w:tc>
      </w:tr>
      <w:tr w:rsidR="00C97A04" w:rsidRPr="00F23DC3" w:rsidTr="007942C0">
        <w:tc>
          <w:tcPr>
            <w:tcW w:w="4282" w:type="dxa"/>
          </w:tcPr>
          <w:p w:rsidR="00C97A04" w:rsidRPr="00F23DC3" w:rsidRDefault="00C97A04" w:rsidP="007942C0">
            <w:pPr>
              <w:rPr>
                <w:rFonts w:cs="Arial"/>
                <w:lang w:val="en-GB"/>
              </w:rPr>
            </w:pPr>
            <w:r w:rsidRPr="00F23DC3">
              <w:rPr>
                <w:rFonts w:cs="Arial"/>
                <w:lang w:val="en-GB"/>
              </w:rPr>
              <w:t>Two-three apprentices/trainees in course of training</w:t>
            </w:r>
          </w:p>
        </w:tc>
        <w:tc>
          <w:tcPr>
            <w:tcW w:w="3719" w:type="dxa"/>
          </w:tcPr>
          <w:p w:rsidR="00C97A04" w:rsidRPr="00F23DC3" w:rsidRDefault="00C97A04" w:rsidP="007942C0">
            <w:pPr>
              <w:rPr>
                <w:rFonts w:cs="Arial"/>
                <w:lang w:val="en-GB"/>
              </w:rPr>
            </w:pPr>
            <w:r w:rsidRPr="00F23DC3">
              <w:rPr>
                <w:rFonts w:cs="Arial"/>
                <w:lang w:val="en-GB"/>
              </w:rPr>
              <w:t>To be implemented during 2019.</w:t>
            </w:r>
          </w:p>
          <w:p w:rsidR="00C97A04" w:rsidRPr="00F23DC3" w:rsidRDefault="00C97A04" w:rsidP="007942C0">
            <w:pPr>
              <w:rPr>
                <w:rFonts w:cs="Arial"/>
                <w:szCs w:val="20"/>
                <w:lang w:val="en-GB"/>
              </w:rPr>
            </w:pPr>
          </w:p>
        </w:tc>
      </w:tr>
      <w:tr w:rsidR="00C97A04" w:rsidRPr="00F23DC3" w:rsidTr="007942C0">
        <w:tc>
          <w:tcPr>
            <w:tcW w:w="4282" w:type="dxa"/>
          </w:tcPr>
          <w:p w:rsidR="00C97A04" w:rsidRPr="00F23DC3" w:rsidRDefault="00C97A04" w:rsidP="007942C0">
            <w:pPr>
              <w:rPr>
                <w:rFonts w:cs="Arial"/>
                <w:lang w:val="en-GB"/>
              </w:rPr>
            </w:pPr>
            <w:r w:rsidRPr="00F23DC3">
              <w:rPr>
                <w:rFonts w:cs="Arial"/>
                <w:lang w:val="en-GB"/>
              </w:rPr>
              <w:t>Establishment of 2-3 temporary jobs (for example corporate trainee positions, wage subsidy etc.).</w:t>
            </w:r>
          </w:p>
        </w:tc>
        <w:tc>
          <w:tcPr>
            <w:tcW w:w="3719" w:type="dxa"/>
          </w:tcPr>
          <w:p w:rsidR="00C97A04" w:rsidRPr="00F23DC3" w:rsidRDefault="00C97A04" w:rsidP="007942C0">
            <w:pPr>
              <w:rPr>
                <w:rFonts w:cs="Arial"/>
                <w:lang w:val="en-GB"/>
              </w:rPr>
            </w:pPr>
            <w:r w:rsidRPr="00F23DC3">
              <w:rPr>
                <w:rFonts w:cs="Arial"/>
                <w:lang w:val="en-GB"/>
              </w:rPr>
              <w:t>To be implemented during 2019.</w:t>
            </w:r>
          </w:p>
          <w:p w:rsidR="00C97A04" w:rsidRPr="00F23DC3" w:rsidRDefault="00C97A04" w:rsidP="007942C0">
            <w:pPr>
              <w:rPr>
                <w:rFonts w:cs="Arial"/>
                <w:lang w:val="en-GB"/>
              </w:rPr>
            </w:pPr>
          </w:p>
        </w:tc>
      </w:tr>
    </w:tbl>
    <w:p w:rsidR="00C97A04" w:rsidRPr="00F23DC3" w:rsidRDefault="00C97A04" w:rsidP="00C97A04">
      <w:pPr>
        <w:rPr>
          <w:lang w:val="en-GB"/>
        </w:rPr>
      </w:pPr>
    </w:p>
    <w:p w:rsidR="00C97A04" w:rsidRPr="00F23DC3" w:rsidRDefault="00C97A04" w:rsidP="00C97A04">
      <w:pPr>
        <w:rPr>
          <w:rFonts w:cs="Arial"/>
          <w:lang w:val="en-GB"/>
        </w:rPr>
      </w:pPr>
    </w:p>
    <w:p w:rsidR="00C97A04" w:rsidRPr="00F23DC3" w:rsidRDefault="00C97A04" w:rsidP="00C97A04">
      <w:pPr>
        <w:pStyle w:val="Overskrift4"/>
        <w:rPr>
          <w:lang w:val="en-GB"/>
        </w:rPr>
      </w:pPr>
      <w:r w:rsidRPr="00F23DC3">
        <w:rPr>
          <w:lang w:val="en-GB"/>
        </w:rPr>
        <w:t>Code of Conduct</w:t>
      </w:r>
    </w:p>
    <w:p w:rsidR="00C97A04" w:rsidRPr="00F23DC3" w:rsidRDefault="00B8035C" w:rsidP="00C97A04">
      <w:pPr>
        <w:rPr>
          <w:rFonts w:cs="Arial"/>
          <w:lang w:val="en-GB"/>
        </w:rPr>
      </w:pPr>
      <w:r>
        <w:rPr>
          <w:lang w:val="en-GB"/>
        </w:rPr>
        <w:t>CPH City &amp; Port Development</w:t>
      </w:r>
      <w:r w:rsidR="00C97A04" w:rsidRPr="00F23DC3">
        <w:rPr>
          <w:lang w:val="en-GB"/>
        </w:rPr>
        <w:t xml:space="preserve"> makes demands on the company suppliers' human, environmental and financial conditions in order to ensure sustainable purchases and influence our suppliers to ensure socially responsible actions and developments. That's why the company prepared a Supplier Code of Conduct to ensure socially responsible supplier control. </w:t>
      </w:r>
    </w:p>
    <w:p w:rsidR="00C97A04" w:rsidRPr="00F23DC3" w:rsidRDefault="00C97A04" w:rsidP="00C97A04">
      <w:pPr>
        <w:rPr>
          <w:rFonts w:cs="Arial"/>
          <w:lang w:val="en-GB"/>
        </w:rPr>
      </w:pPr>
    </w:p>
    <w:p w:rsidR="00C97A04" w:rsidRPr="00F23DC3" w:rsidRDefault="00C97A04" w:rsidP="00C97A04">
      <w:pPr>
        <w:rPr>
          <w:rFonts w:cs="Arial"/>
          <w:i/>
          <w:lang w:val="en-GB"/>
        </w:rPr>
      </w:pPr>
      <w:r w:rsidRPr="00F23DC3">
        <w:rPr>
          <w:rFonts w:cs="Arial"/>
          <w:lang w:val="en-GB"/>
        </w:rPr>
        <w:t xml:space="preserve">In connection with the CSR report 2018, it was decided to update </w:t>
      </w:r>
      <w:r w:rsidR="00B8035C">
        <w:rPr>
          <w:rFonts w:cs="Arial"/>
          <w:lang w:val="en-GB"/>
        </w:rPr>
        <w:t>CPH City &amp; Port Development</w:t>
      </w:r>
      <w:r w:rsidRPr="00F23DC3">
        <w:rPr>
          <w:rFonts w:cs="Arial"/>
          <w:lang w:val="en-GB"/>
        </w:rPr>
        <w:t>'s CSR policy and Code of Conduct in 2018. The company postponed its CSR policy work till 2019 in connection with the development of a new business strategy for 2020-2023. In this connection, the method of reporting of objectives will be in focus and the company's work with its Code of Conduct will be evaluated.</w:t>
      </w:r>
    </w:p>
    <w:p w:rsidR="00C97A04" w:rsidRPr="00F23DC3" w:rsidRDefault="00C97A04" w:rsidP="00C97A04">
      <w:pPr>
        <w:rPr>
          <w:i/>
          <w:lang w:val="en-GB"/>
        </w:rPr>
      </w:pPr>
    </w:p>
    <w:tbl>
      <w:tblPr>
        <w:tblStyle w:val="Tabel-Gitter"/>
        <w:tblW w:w="7450" w:type="dxa"/>
        <w:tblInd w:w="137" w:type="dxa"/>
        <w:tblLayout w:type="fixed"/>
        <w:tblLook w:val="04A0" w:firstRow="1" w:lastRow="0" w:firstColumn="1" w:lastColumn="0" w:noHBand="0" w:noVBand="1"/>
      </w:tblPr>
      <w:tblGrid>
        <w:gridCol w:w="3765"/>
        <w:gridCol w:w="3685"/>
      </w:tblGrid>
      <w:tr w:rsidR="00C97A04" w:rsidRPr="00F23DC3" w:rsidTr="007942C0">
        <w:trPr>
          <w:trHeight w:val="243"/>
        </w:trPr>
        <w:tc>
          <w:tcPr>
            <w:tcW w:w="3765"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Goals for 2018</w:t>
            </w:r>
          </w:p>
        </w:tc>
        <w:tc>
          <w:tcPr>
            <w:tcW w:w="3685"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Status of actions</w:t>
            </w:r>
          </w:p>
        </w:tc>
      </w:tr>
      <w:tr w:rsidR="00C97A04" w:rsidRPr="00E95903" w:rsidTr="007942C0">
        <w:tc>
          <w:tcPr>
            <w:tcW w:w="3765" w:type="dxa"/>
          </w:tcPr>
          <w:p w:rsidR="00C97A04" w:rsidRPr="00F23DC3" w:rsidRDefault="00C97A04" w:rsidP="007942C0">
            <w:pPr>
              <w:rPr>
                <w:rFonts w:cs="Arial"/>
                <w:lang w:val="en-GB"/>
              </w:rPr>
            </w:pPr>
            <w:r w:rsidRPr="00F23DC3">
              <w:rPr>
                <w:rFonts w:cs="Arial"/>
                <w:lang w:val="en-GB"/>
              </w:rPr>
              <w:t xml:space="preserve">Evaluation of the Supplier Code of Conduct for </w:t>
            </w:r>
            <w:r w:rsidR="00B8035C">
              <w:rPr>
                <w:rFonts w:cs="Arial"/>
                <w:lang w:val="en-GB"/>
              </w:rPr>
              <w:t>CPH City &amp; Port Development</w:t>
            </w:r>
            <w:r w:rsidRPr="00F23DC3">
              <w:rPr>
                <w:rFonts w:cs="Arial"/>
                <w:lang w:val="en-GB"/>
              </w:rPr>
              <w:t xml:space="preserve">'s partners. </w:t>
            </w:r>
          </w:p>
          <w:p w:rsidR="00C97A04" w:rsidRPr="00F23DC3" w:rsidRDefault="00C97A04" w:rsidP="007942C0">
            <w:pPr>
              <w:rPr>
                <w:rFonts w:cs="Arial"/>
                <w:i/>
                <w:lang w:val="en-GB"/>
              </w:rPr>
            </w:pPr>
            <w:r w:rsidRPr="00F23DC3">
              <w:rPr>
                <w:rFonts w:cs="Arial"/>
                <w:lang w:val="en-GB"/>
              </w:rPr>
              <w:t>This evaluation forms part of the preparation of a new CSR policy reflecting UN’s global goals.</w:t>
            </w:r>
          </w:p>
        </w:tc>
        <w:tc>
          <w:tcPr>
            <w:tcW w:w="3685" w:type="dxa"/>
          </w:tcPr>
          <w:p w:rsidR="00C97A04" w:rsidRPr="00F23DC3" w:rsidRDefault="00C97A04" w:rsidP="007942C0">
            <w:pPr>
              <w:rPr>
                <w:rFonts w:cs="Arial"/>
                <w:lang w:val="en-GB"/>
              </w:rPr>
            </w:pPr>
            <w:r w:rsidRPr="00F23DC3">
              <w:rPr>
                <w:rFonts w:cs="Arial"/>
                <w:lang w:val="en-GB"/>
              </w:rPr>
              <w:t>Not achieved as a result of the preparation of a business strategy – this goal has been postponed till 2019</w:t>
            </w:r>
          </w:p>
          <w:p w:rsidR="00C97A04" w:rsidRPr="00F23DC3" w:rsidRDefault="00C97A04" w:rsidP="007942C0">
            <w:pPr>
              <w:rPr>
                <w:rFonts w:cs="Arial"/>
                <w:i/>
                <w:sz w:val="22"/>
                <w:lang w:val="en-GB"/>
              </w:rPr>
            </w:pPr>
          </w:p>
        </w:tc>
      </w:tr>
    </w:tbl>
    <w:p w:rsidR="00C97A04" w:rsidRPr="00F23DC3" w:rsidRDefault="00C97A04" w:rsidP="00C97A04">
      <w:pPr>
        <w:rPr>
          <w:rFonts w:cs="Arial"/>
          <w:i/>
          <w:lang w:val="en-GB"/>
        </w:rPr>
      </w:pPr>
    </w:p>
    <w:p w:rsidR="00C97A04" w:rsidRPr="00F23DC3" w:rsidRDefault="00C97A04" w:rsidP="00C97A04">
      <w:pPr>
        <w:rPr>
          <w:i/>
          <w:lang w:val="en-GB"/>
        </w:rPr>
      </w:pPr>
      <w:bookmarkStart w:id="23" w:name="_Toc381103219"/>
    </w:p>
    <w:tbl>
      <w:tblPr>
        <w:tblStyle w:val="Tabel-Gitter"/>
        <w:tblW w:w="7450" w:type="dxa"/>
        <w:tblInd w:w="137" w:type="dxa"/>
        <w:tblLayout w:type="fixed"/>
        <w:tblLook w:val="04A0" w:firstRow="1" w:lastRow="0" w:firstColumn="1" w:lastColumn="0" w:noHBand="0" w:noVBand="1"/>
      </w:tblPr>
      <w:tblGrid>
        <w:gridCol w:w="3765"/>
        <w:gridCol w:w="3685"/>
      </w:tblGrid>
      <w:tr w:rsidR="00C97A04" w:rsidRPr="00F23DC3" w:rsidTr="007942C0">
        <w:trPr>
          <w:trHeight w:val="243"/>
        </w:trPr>
        <w:tc>
          <w:tcPr>
            <w:tcW w:w="3765"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Goals for 2019</w:t>
            </w:r>
          </w:p>
        </w:tc>
        <w:tc>
          <w:tcPr>
            <w:tcW w:w="3685"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Status of actions</w:t>
            </w:r>
          </w:p>
        </w:tc>
      </w:tr>
      <w:tr w:rsidR="00C97A04" w:rsidRPr="00F23DC3" w:rsidTr="007942C0">
        <w:tc>
          <w:tcPr>
            <w:tcW w:w="3765" w:type="dxa"/>
          </w:tcPr>
          <w:p w:rsidR="00C97A04" w:rsidRPr="00F23DC3" w:rsidRDefault="00C97A04" w:rsidP="007942C0">
            <w:pPr>
              <w:rPr>
                <w:rFonts w:cs="Arial"/>
                <w:lang w:val="en-GB"/>
              </w:rPr>
            </w:pPr>
            <w:r w:rsidRPr="00F23DC3">
              <w:rPr>
                <w:rFonts w:cs="Arial"/>
                <w:lang w:val="en-GB"/>
              </w:rPr>
              <w:t xml:space="preserve">Evaluation of the Supplier Code of Conduct for </w:t>
            </w:r>
            <w:r w:rsidR="00B8035C">
              <w:rPr>
                <w:rFonts w:cs="Arial"/>
                <w:lang w:val="en-GB"/>
              </w:rPr>
              <w:t>CPH City &amp; Port Development</w:t>
            </w:r>
            <w:r w:rsidRPr="00F23DC3">
              <w:rPr>
                <w:rFonts w:cs="Arial"/>
                <w:lang w:val="en-GB"/>
              </w:rPr>
              <w:t xml:space="preserve">'s partners. </w:t>
            </w:r>
          </w:p>
          <w:p w:rsidR="00C97A04" w:rsidRPr="00F23DC3" w:rsidRDefault="00C97A04" w:rsidP="007942C0">
            <w:pPr>
              <w:rPr>
                <w:rFonts w:cs="Arial"/>
                <w:i/>
                <w:lang w:val="en-GB"/>
              </w:rPr>
            </w:pPr>
            <w:r w:rsidRPr="00F23DC3">
              <w:rPr>
                <w:rFonts w:cs="Arial"/>
                <w:lang w:val="en-GB"/>
              </w:rPr>
              <w:t>This evaluation forms part of the preparation of a new CSR policy reflecting UN’s global goals.</w:t>
            </w:r>
          </w:p>
        </w:tc>
        <w:tc>
          <w:tcPr>
            <w:tcW w:w="3685" w:type="dxa"/>
          </w:tcPr>
          <w:p w:rsidR="00C97A04" w:rsidRPr="00F23DC3" w:rsidRDefault="00C97A04" w:rsidP="007942C0">
            <w:pPr>
              <w:rPr>
                <w:rFonts w:cs="Arial"/>
                <w:i/>
                <w:sz w:val="22"/>
                <w:lang w:val="en-GB"/>
              </w:rPr>
            </w:pPr>
            <w:r w:rsidRPr="00F23DC3">
              <w:rPr>
                <w:rFonts w:cs="Arial"/>
                <w:lang w:val="en-GB"/>
              </w:rPr>
              <w:t>To be prepared during 2019.</w:t>
            </w:r>
          </w:p>
        </w:tc>
      </w:tr>
    </w:tbl>
    <w:p w:rsidR="00C97A04" w:rsidRPr="00F23DC3" w:rsidRDefault="00C97A04" w:rsidP="00C97A04">
      <w:pPr>
        <w:rPr>
          <w:rFonts w:cs="Arial"/>
          <w:i/>
          <w:lang w:val="en-GB"/>
        </w:rPr>
      </w:pPr>
    </w:p>
    <w:p w:rsidR="00C97A04" w:rsidRPr="00F23DC3" w:rsidRDefault="00C97A04" w:rsidP="00C97A04">
      <w:pPr>
        <w:rPr>
          <w:lang w:val="en-GB"/>
        </w:rPr>
      </w:pPr>
    </w:p>
    <w:p w:rsidR="00C97A04" w:rsidRPr="00F23DC3" w:rsidRDefault="00C97A04" w:rsidP="00C97A04">
      <w:pPr>
        <w:pStyle w:val="Overskrift3"/>
        <w:rPr>
          <w:lang w:val="en-GB"/>
        </w:rPr>
      </w:pPr>
      <w:r w:rsidRPr="00F23DC3">
        <w:rPr>
          <w:lang w:val="en-GB"/>
        </w:rPr>
        <w:t>Anti-corruption</w:t>
      </w:r>
      <w:bookmarkEnd w:id="23"/>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 xml:space="preserve">As a publicly owned urban development company, </w:t>
      </w:r>
      <w:r w:rsidR="00B8035C">
        <w:rPr>
          <w:rFonts w:cs="Arial"/>
          <w:lang w:val="en-GB"/>
        </w:rPr>
        <w:t>CPH City &amp; Port Development</w:t>
      </w:r>
      <w:r w:rsidRPr="00F23DC3">
        <w:rPr>
          <w:rFonts w:cs="Arial"/>
          <w:lang w:val="en-GB"/>
        </w:rPr>
        <w:t xml:space="preserve"> finds it important to work actively to counteract the risk of corruption and nepotism. </w:t>
      </w:r>
    </w:p>
    <w:p w:rsidR="00C97A04" w:rsidRPr="00F23DC3" w:rsidRDefault="00C97A04" w:rsidP="00C97A04">
      <w:pPr>
        <w:rPr>
          <w:rFonts w:cs="Arial"/>
          <w:lang w:val="en-GB"/>
        </w:rPr>
      </w:pP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is covered by EU's tendering rules and by the Danish Tender Law and also has a policy regarding the selection of suppliers </w:t>
      </w:r>
      <w:r w:rsidR="00C97A04" w:rsidRPr="00F23DC3">
        <w:rPr>
          <w:rFonts w:cs="Arial"/>
          <w:lang w:val="en-GB"/>
        </w:rPr>
        <w:lastRenderedPageBreak/>
        <w:t>which stresses that suppliers must be selected based on a factual, objective and non-d</w:t>
      </w:r>
      <w:r w:rsidR="00F23DC3">
        <w:rPr>
          <w:rFonts w:cs="Arial"/>
          <w:lang w:val="en-GB"/>
        </w:rPr>
        <w:t>i</w:t>
      </w:r>
      <w:r w:rsidR="00C97A04" w:rsidRPr="00F23DC3">
        <w:rPr>
          <w:rFonts w:cs="Arial"/>
          <w:lang w:val="en-GB"/>
        </w:rPr>
        <w:t xml:space="preserve">scriminatory decision. The policy also includes written guidelines on how to select suppliers for purchases exceeding DKK 300,000 but which are not covered by EU's tendering rules. </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 xml:space="preserve">It is standard practice in many industries for suppliers to try to develop cooperative relationships with their customers through a wide range of activities. </w:t>
      </w:r>
      <w:r w:rsidR="00B8035C">
        <w:rPr>
          <w:rFonts w:cs="Arial"/>
          <w:lang w:val="en-GB"/>
        </w:rPr>
        <w:t>CPH City &amp; Port Development</w:t>
      </w:r>
      <w:r w:rsidRPr="00F23DC3">
        <w:rPr>
          <w:rFonts w:cs="Arial"/>
          <w:lang w:val="en-GB"/>
        </w:rPr>
        <w:t xml:space="preserve">'s employees can participate in certain of these activities in a normal commercial manner but </w:t>
      </w:r>
      <w:r w:rsidR="00B8035C">
        <w:rPr>
          <w:rFonts w:cs="Arial"/>
          <w:lang w:val="en-GB"/>
        </w:rPr>
        <w:t>CPH City &amp; Port Development</w:t>
      </w:r>
      <w:r w:rsidRPr="00F23DC3">
        <w:rPr>
          <w:rFonts w:cs="Arial"/>
          <w:lang w:val="en-GB"/>
        </w:rPr>
        <w:t>'s policy for travel and representation includes guidelines for this.</w:t>
      </w:r>
    </w:p>
    <w:p w:rsidR="00C97A04" w:rsidRPr="00F23DC3" w:rsidRDefault="00C97A04" w:rsidP="00C97A04">
      <w:pPr>
        <w:rPr>
          <w:rFonts w:cs="Arial"/>
          <w:lang w:val="en-GB"/>
        </w:rPr>
      </w:pPr>
    </w:p>
    <w:p w:rsidR="00C97A04" w:rsidRPr="00F23DC3" w:rsidRDefault="00B8035C" w:rsidP="00C97A04">
      <w:pPr>
        <w:rPr>
          <w:rFonts w:cs="Arial"/>
          <w:lang w:val="en-GB"/>
        </w:rPr>
      </w:pPr>
      <w:r>
        <w:rPr>
          <w:rFonts w:cs="Arial"/>
          <w:lang w:val="en-GB"/>
        </w:rPr>
        <w:t>CPH City &amp; Port Development</w:t>
      </w:r>
      <w:r w:rsidR="00C97A04" w:rsidRPr="00F23DC3">
        <w:rPr>
          <w:rFonts w:cs="Arial"/>
          <w:lang w:val="en-GB"/>
        </w:rPr>
        <w:t xml:space="preserve"> requires suppliers and their subcontractors to avoid all types of corruption, including bribery and similar illegal methods as a means of gaining undue influence or advantages of a businesslike nature. The company's expectations of suppliers regarding anti-corruption and bribery are described in the guidelines "Suppliers' societal responsibility/Code of Conduct".</w:t>
      </w:r>
    </w:p>
    <w:p w:rsidR="00C97A04" w:rsidRPr="00F23DC3" w:rsidRDefault="00C97A04" w:rsidP="00C97A04">
      <w:pPr>
        <w:rPr>
          <w:rFonts w:cs="Arial"/>
          <w:lang w:val="en-GB"/>
        </w:rPr>
      </w:pPr>
    </w:p>
    <w:p w:rsidR="00C97A04" w:rsidRPr="00F23DC3" w:rsidRDefault="00C97A04" w:rsidP="00C97A04">
      <w:pPr>
        <w:rPr>
          <w:rFonts w:cs="Arial"/>
          <w:lang w:val="en-GB"/>
        </w:rPr>
      </w:pPr>
      <w:r w:rsidRPr="00F23DC3">
        <w:rPr>
          <w:rFonts w:cs="Arial"/>
          <w:lang w:val="en-GB"/>
        </w:rPr>
        <w:t>Finally, the company implemented a whistleblower scheme in 2016 where employees and partners may report illegalities, if any.</w:t>
      </w:r>
      <w:r w:rsidRPr="00F23DC3">
        <w:rPr>
          <w:rFonts w:cs="Arial"/>
          <w:lang w:val="en-GB"/>
        </w:rPr>
        <w:br/>
      </w:r>
    </w:p>
    <w:p w:rsidR="00C97A04" w:rsidRPr="00F23DC3" w:rsidRDefault="00C97A04" w:rsidP="00C97A04">
      <w:pPr>
        <w:rPr>
          <w:rFonts w:cs="Arial"/>
          <w:lang w:val="en-GB"/>
        </w:rPr>
      </w:pPr>
      <w:r w:rsidRPr="00F23DC3">
        <w:rPr>
          <w:rFonts w:cs="Arial"/>
          <w:lang w:val="en-GB"/>
        </w:rPr>
        <w:t>There were no reports under the whistleblower scheme in 2018.</w:t>
      </w:r>
    </w:p>
    <w:p w:rsidR="00C97A04" w:rsidRPr="00F23DC3" w:rsidRDefault="00C97A04" w:rsidP="00C97A04">
      <w:pPr>
        <w:rPr>
          <w:rFonts w:cs="Arial"/>
          <w:lang w:val="en-GB"/>
        </w:rPr>
      </w:pPr>
    </w:p>
    <w:p w:rsidR="00C97A04" w:rsidRPr="00F23DC3" w:rsidRDefault="00C97A04" w:rsidP="00C97A04">
      <w:pPr>
        <w:ind w:left="360"/>
        <w:rPr>
          <w:rFonts w:cs="Arial"/>
          <w:i/>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97A04" w:rsidRPr="00F23DC3" w:rsidTr="007942C0">
        <w:trPr>
          <w:trHeight w:val="243"/>
        </w:trPr>
        <w:tc>
          <w:tcPr>
            <w:tcW w:w="3794"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Goals for 2018</w:t>
            </w:r>
          </w:p>
        </w:tc>
        <w:tc>
          <w:tcPr>
            <w:tcW w:w="3685"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Status of actions</w:t>
            </w:r>
          </w:p>
        </w:tc>
      </w:tr>
      <w:tr w:rsidR="00C97A04" w:rsidRPr="00E95903" w:rsidTr="007942C0">
        <w:tc>
          <w:tcPr>
            <w:tcW w:w="3794" w:type="dxa"/>
          </w:tcPr>
          <w:p w:rsidR="00C97A04" w:rsidRPr="00F23DC3" w:rsidRDefault="00C97A04" w:rsidP="007942C0">
            <w:pPr>
              <w:rPr>
                <w:rFonts w:cs="Arial"/>
                <w:lang w:val="en-GB"/>
              </w:rPr>
            </w:pPr>
            <w:r w:rsidRPr="00F23DC3">
              <w:rPr>
                <w:rFonts w:cs="Arial"/>
                <w:lang w:val="en-GB"/>
              </w:rPr>
              <w:t>Evaluation of the whistleblower scheme.</w:t>
            </w:r>
          </w:p>
        </w:tc>
        <w:tc>
          <w:tcPr>
            <w:tcW w:w="3685" w:type="dxa"/>
          </w:tcPr>
          <w:p w:rsidR="00C97A04" w:rsidRPr="00F23DC3" w:rsidRDefault="00055405" w:rsidP="007942C0">
            <w:pPr>
              <w:rPr>
                <w:rFonts w:cs="Arial"/>
                <w:color w:val="FF0000"/>
                <w:sz w:val="22"/>
                <w:lang w:val="en-GB"/>
              </w:rPr>
            </w:pPr>
            <w:r>
              <w:rPr>
                <w:rFonts w:cs="Arial"/>
                <w:lang w:val="en-GB"/>
              </w:rPr>
              <w:t xml:space="preserve">Achieved. </w:t>
            </w:r>
            <w:r w:rsidR="00C97A04" w:rsidRPr="00F23DC3">
              <w:rPr>
                <w:rFonts w:cs="Arial"/>
                <w:lang w:val="en-GB"/>
              </w:rPr>
              <w:t xml:space="preserve">No reports were made under the whistleblower scheme in 2018. </w:t>
            </w:r>
          </w:p>
        </w:tc>
      </w:tr>
    </w:tbl>
    <w:p w:rsidR="00C97A04" w:rsidRPr="00F23DC3" w:rsidRDefault="00C97A04" w:rsidP="00C97A04">
      <w:pPr>
        <w:rPr>
          <w:rFonts w:cs="Arial"/>
          <w:i/>
          <w:lang w:val="en-GB"/>
        </w:rPr>
      </w:pPr>
    </w:p>
    <w:p w:rsidR="00C97A04" w:rsidRPr="00F23DC3" w:rsidRDefault="00C97A04" w:rsidP="00C97A04">
      <w:pPr>
        <w:ind w:left="360"/>
        <w:rPr>
          <w:rFonts w:cs="Arial"/>
          <w:i/>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97A04" w:rsidRPr="00F23DC3" w:rsidTr="007942C0">
        <w:trPr>
          <w:trHeight w:val="243"/>
        </w:trPr>
        <w:tc>
          <w:tcPr>
            <w:tcW w:w="3794" w:type="dxa"/>
            <w:shd w:val="clear" w:color="auto" w:fill="F2F2F2" w:themeFill="background1" w:themeFillShade="F2"/>
          </w:tcPr>
          <w:p w:rsidR="00C97A04" w:rsidRPr="00F23DC3" w:rsidRDefault="00C97A04" w:rsidP="007942C0">
            <w:pPr>
              <w:rPr>
                <w:rFonts w:cs="Arial"/>
                <w:lang w:val="en-GB"/>
              </w:rPr>
            </w:pPr>
            <w:r w:rsidRPr="00F23DC3">
              <w:rPr>
                <w:rFonts w:cs="Arial"/>
                <w:lang w:val="en-GB"/>
              </w:rPr>
              <w:t>Goals for 2019</w:t>
            </w:r>
          </w:p>
        </w:tc>
        <w:tc>
          <w:tcPr>
            <w:tcW w:w="3685" w:type="dxa"/>
            <w:shd w:val="clear" w:color="auto" w:fill="F2F2F2" w:themeFill="background1" w:themeFillShade="F2"/>
          </w:tcPr>
          <w:p w:rsidR="00C97A04" w:rsidRPr="00F23DC3" w:rsidRDefault="00C97A04" w:rsidP="007942C0">
            <w:pPr>
              <w:rPr>
                <w:rFonts w:cs="Arial"/>
                <w:b/>
                <w:lang w:val="en-GB"/>
              </w:rPr>
            </w:pPr>
            <w:r w:rsidRPr="00F23DC3">
              <w:rPr>
                <w:rFonts w:cs="Arial"/>
                <w:lang w:val="en-GB"/>
              </w:rPr>
              <w:t>Status of actions</w:t>
            </w:r>
          </w:p>
        </w:tc>
      </w:tr>
      <w:tr w:rsidR="00C97A04" w:rsidRPr="00F23DC3" w:rsidTr="007942C0">
        <w:tc>
          <w:tcPr>
            <w:tcW w:w="3794" w:type="dxa"/>
          </w:tcPr>
          <w:p w:rsidR="00C97A04" w:rsidRPr="00F23DC3" w:rsidRDefault="00C97A04" w:rsidP="007942C0">
            <w:pPr>
              <w:rPr>
                <w:rFonts w:cs="Arial"/>
                <w:lang w:val="en-GB"/>
              </w:rPr>
            </w:pPr>
            <w:r w:rsidRPr="00F23DC3">
              <w:rPr>
                <w:rFonts w:cs="Arial"/>
                <w:lang w:val="en-GB"/>
              </w:rPr>
              <w:t>No reports under the whistleblower scheme.</w:t>
            </w:r>
          </w:p>
        </w:tc>
        <w:tc>
          <w:tcPr>
            <w:tcW w:w="3685" w:type="dxa"/>
          </w:tcPr>
          <w:p w:rsidR="00C97A04" w:rsidRPr="00F23DC3" w:rsidRDefault="00C97A04" w:rsidP="007942C0">
            <w:pPr>
              <w:rPr>
                <w:rFonts w:cs="Arial"/>
                <w:color w:val="FF0000"/>
                <w:sz w:val="22"/>
                <w:lang w:val="en-GB"/>
              </w:rPr>
            </w:pPr>
            <w:r w:rsidRPr="00F23DC3">
              <w:rPr>
                <w:rFonts w:cs="Arial"/>
                <w:lang w:val="en-GB"/>
              </w:rPr>
              <w:t>To be determined in 2020</w:t>
            </w:r>
          </w:p>
        </w:tc>
      </w:tr>
    </w:tbl>
    <w:p w:rsidR="00FB30EA" w:rsidRPr="00F23DC3" w:rsidRDefault="00FB30EA" w:rsidP="00217696">
      <w:pPr>
        <w:rPr>
          <w:lang w:val="en-GB"/>
        </w:rPr>
      </w:pPr>
    </w:p>
    <w:p w:rsidR="00CC1DB7" w:rsidRPr="00F23DC3" w:rsidRDefault="00CC1DB7" w:rsidP="00217696">
      <w:pPr>
        <w:rPr>
          <w:lang w:val="en-GB"/>
        </w:rPr>
      </w:pPr>
    </w:p>
    <w:p w:rsidR="00CC1DB7" w:rsidRPr="00F23DC3" w:rsidRDefault="00CC1DB7" w:rsidP="00CC1DB7">
      <w:pPr>
        <w:rPr>
          <w:rFonts w:cs="Arial"/>
          <w:b/>
          <w:lang w:val="en-GB"/>
        </w:rPr>
      </w:pPr>
    </w:p>
    <w:p w:rsidR="00CC1DB7" w:rsidRPr="00F23DC3" w:rsidRDefault="00CC1DB7" w:rsidP="00CC1DB7">
      <w:pPr>
        <w:pStyle w:val="Overskrift2"/>
        <w:rPr>
          <w:sz w:val="20"/>
          <w:szCs w:val="20"/>
          <w:lang w:val="en-GB"/>
        </w:rPr>
      </w:pPr>
      <w:bookmarkStart w:id="24" w:name="_Toc507417369"/>
      <w:bookmarkStart w:id="25" w:name="_Toc381345871"/>
      <w:bookmarkStart w:id="26" w:name="_Toc381103220"/>
      <w:bookmarkStart w:id="27" w:name="_Toc380587568"/>
      <w:bookmarkStart w:id="28" w:name="_Toc380587085"/>
      <w:r w:rsidRPr="00F23DC3">
        <w:rPr>
          <w:iCs w:val="0"/>
          <w:sz w:val="20"/>
          <w:szCs w:val="20"/>
          <w:lang w:val="en-GB"/>
        </w:rPr>
        <w:t>Focus on the environment (principles 7-9)</w:t>
      </w:r>
      <w:bookmarkEnd w:id="24"/>
      <w:bookmarkEnd w:id="25"/>
      <w:bookmarkEnd w:id="26"/>
      <w:bookmarkEnd w:id="27"/>
      <w:bookmarkEnd w:id="28"/>
    </w:p>
    <w:p w:rsidR="00CC1DB7" w:rsidRPr="00F23DC3" w:rsidRDefault="00B8035C" w:rsidP="00CC1DB7">
      <w:pPr>
        <w:rPr>
          <w:rFonts w:cs="Arial"/>
          <w:lang w:val="en-GB"/>
        </w:rPr>
      </w:pPr>
      <w:r>
        <w:rPr>
          <w:rFonts w:cs="Arial"/>
          <w:lang w:val="en-GB"/>
        </w:rPr>
        <w:t>CPH City &amp; Port Development</w:t>
      </w:r>
      <w:r w:rsidR="00CC1DB7" w:rsidRPr="00F23DC3">
        <w:rPr>
          <w:rFonts w:cs="Arial"/>
          <w:lang w:val="en-GB"/>
        </w:rPr>
        <w:t xml:space="preserve"> delivers long-term, coherent urban development. Consequently, </w:t>
      </w:r>
      <w:r>
        <w:rPr>
          <w:rFonts w:cs="Arial"/>
          <w:lang w:val="en-GB"/>
        </w:rPr>
        <w:t>CPH City &amp; Port Development</w:t>
      </w:r>
      <w:r w:rsidR="00CC1DB7" w:rsidRPr="00F23DC3">
        <w:rPr>
          <w:rFonts w:cs="Arial"/>
          <w:lang w:val="en-GB"/>
        </w:rPr>
        <w:t xml:space="preserve"> has a special responsibility to minimise the negative effects, if any, on the environment and climate resulting from the company's development projects. </w:t>
      </w:r>
      <w:r>
        <w:rPr>
          <w:rFonts w:cs="Arial"/>
          <w:lang w:val="en-GB"/>
        </w:rPr>
        <w:t>CPH City &amp; Port Development</w:t>
      </w:r>
      <w:r w:rsidR="00CC1DB7" w:rsidRPr="00F23DC3">
        <w:rPr>
          <w:rFonts w:cs="Arial"/>
          <w:lang w:val="en-GB"/>
        </w:rPr>
        <w:t xml:space="preserve"> works actively in environmental protection, energy-efficient solutions and climate proofing of our urban areas. As part of these efforts, </w:t>
      </w:r>
      <w:r>
        <w:rPr>
          <w:rFonts w:cs="Arial"/>
          <w:lang w:val="en-GB"/>
        </w:rPr>
        <w:t>CPH City &amp; Port Development</w:t>
      </w:r>
      <w:r w:rsidR="00CC1DB7" w:rsidRPr="00F23DC3">
        <w:rPr>
          <w:rFonts w:cs="Arial"/>
          <w:lang w:val="en-GB"/>
        </w:rPr>
        <w:t xml:space="preserve"> requires DGNB certification of our new urban areas and also that the clients in our urban areas have Gold DGNB certification of their buildings. </w:t>
      </w:r>
    </w:p>
    <w:p w:rsidR="00CC1DB7" w:rsidRPr="00F23DC3" w:rsidRDefault="00CC1DB7" w:rsidP="00CC1DB7">
      <w:pPr>
        <w:rPr>
          <w:rFonts w:cs="Arial"/>
          <w:lang w:val="en-GB"/>
        </w:rPr>
      </w:pPr>
    </w:p>
    <w:p w:rsidR="00CC1DB7" w:rsidRPr="00F23DC3" w:rsidRDefault="00CC1DB7" w:rsidP="00CC1DB7">
      <w:pPr>
        <w:rPr>
          <w:rFonts w:cs="Arial"/>
          <w:lang w:val="en-GB"/>
        </w:rPr>
      </w:pPr>
      <w:r w:rsidRPr="00F23DC3">
        <w:rPr>
          <w:rFonts w:cs="Arial"/>
          <w:lang w:val="en-GB"/>
        </w:rPr>
        <w:t xml:space="preserve">As a leading stakeholder in urban development, </w:t>
      </w:r>
      <w:r w:rsidR="00B8035C">
        <w:rPr>
          <w:rFonts w:cs="Arial"/>
          <w:lang w:val="en-GB"/>
        </w:rPr>
        <w:t>CPH City &amp; Port Development</w:t>
      </w:r>
      <w:r w:rsidRPr="00F23DC3">
        <w:rPr>
          <w:rFonts w:cs="Arial"/>
          <w:lang w:val="en-GB"/>
        </w:rPr>
        <w:t xml:space="preserve"> can also promote overall environmental sustainability in the industry. That's why the company is involved in strategic partnerships regarding environmental initiatives in order to develop new innovative sustainable solutions in collaboration with universities, suppliers and users. Finally, the company will evaluate its Code of Conduct next year and also assess how the company can integrate environmental responsibility in its supplier chain in future. </w:t>
      </w:r>
    </w:p>
    <w:p w:rsidR="00CC1DB7" w:rsidRPr="00F23DC3" w:rsidRDefault="00CC1DB7" w:rsidP="00CC1DB7">
      <w:pPr>
        <w:rPr>
          <w:rFonts w:cs="Arial"/>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23DC3" w:rsidTr="006A0F52">
        <w:tc>
          <w:tcPr>
            <w:tcW w:w="3794" w:type="dxa"/>
            <w:shd w:val="clear" w:color="auto" w:fill="F2F2F2" w:themeFill="background1" w:themeFillShade="F2"/>
          </w:tcPr>
          <w:p w:rsidR="00CC1DB7" w:rsidRPr="00F23DC3" w:rsidRDefault="00CC1DB7" w:rsidP="006A0F52">
            <w:pPr>
              <w:rPr>
                <w:rFonts w:cs="Arial"/>
                <w:b/>
                <w:lang w:val="en-GB"/>
              </w:rPr>
            </w:pPr>
            <w:r w:rsidRPr="00F23DC3">
              <w:rPr>
                <w:rFonts w:cs="Arial"/>
                <w:lang w:val="en-GB"/>
              </w:rPr>
              <w:t>Goals for 2018</w:t>
            </w:r>
          </w:p>
        </w:tc>
        <w:tc>
          <w:tcPr>
            <w:tcW w:w="3685" w:type="dxa"/>
            <w:shd w:val="clear" w:color="auto" w:fill="F2F2F2" w:themeFill="background1" w:themeFillShade="F2"/>
          </w:tcPr>
          <w:p w:rsidR="00CC1DB7" w:rsidRPr="00F23DC3" w:rsidRDefault="00CC1DB7" w:rsidP="006A0F52">
            <w:pPr>
              <w:rPr>
                <w:rFonts w:cs="Arial"/>
                <w:szCs w:val="20"/>
                <w:lang w:val="en-GB"/>
              </w:rPr>
            </w:pPr>
            <w:r w:rsidRPr="00F23DC3">
              <w:rPr>
                <w:rFonts w:cs="Arial"/>
                <w:lang w:val="en-GB"/>
              </w:rPr>
              <w:t>Status of actions</w:t>
            </w:r>
          </w:p>
        </w:tc>
      </w:tr>
      <w:tr w:rsidR="00CC1DB7" w:rsidRPr="00E95903" w:rsidTr="006A0F52">
        <w:tc>
          <w:tcPr>
            <w:tcW w:w="3794" w:type="dxa"/>
          </w:tcPr>
          <w:p w:rsidR="00CC1DB7" w:rsidRPr="00F23DC3" w:rsidRDefault="00CC1DB7" w:rsidP="006A0F52">
            <w:pPr>
              <w:rPr>
                <w:rFonts w:cs="Arial"/>
                <w:lang w:val="en-GB"/>
              </w:rPr>
            </w:pPr>
            <w:r w:rsidRPr="00F23DC3">
              <w:rPr>
                <w:rFonts w:cs="Arial"/>
                <w:lang w:val="en-GB"/>
              </w:rPr>
              <w:t xml:space="preserve">To update the strategy for the company's efforts in sustainability, including setting priorities in relation to </w:t>
            </w:r>
            <w:r w:rsidRPr="00F23DC3">
              <w:rPr>
                <w:rFonts w:cs="Arial"/>
                <w:lang w:val="en-GB"/>
              </w:rPr>
              <w:lastRenderedPageBreak/>
              <w:t>UN's global goals.</w:t>
            </w:r>
          </w:p>
        </w:tc>
        <w:tc>
          <w:tcPr>
            <w:tcW w:w="3685" w:type="dxa"/>
          </w:tcPr>
          <w:p w:rsidR="00CC1DB7" w:rsidRPr="00F23DC3" w:rsidRDefault="00CC1DB7" w:rsidP="006A0F52">
            <w:pPr>
              <w:rPr>
                <w:rFonts w:cs="Arial"/>
                <w:szCs w:val="20"/>
                <w:lang w:val="en-GB"/>
              </w:rPr>
            </w:pPr>
            <w:r w:rsidRPr="00F23DC3">
              <w:rPr>
                <w:rFonts w:cs="Arial"/>
                <w:szCs w:val="20"/>
                <w:lang w:val="en-GB"/>
              </w:rPr>
              <w:lastRenderedPageBreak/>
              <w:t>Achieved. Integrated in the company's business strategy for 2020-2023</w:t>
            </w:r>
          </w:p>
        </w:tc>
      </w:tr>
    </w:tbl>
    <w:p w:rsidR="00CC1DB7" w:rsidRPr="00F23DC3" w:rsidRDefault="00CC1DB7" w:rsidP="00CC1DB7">
      <w:pPr>
        <w:rPr>
          <w:rFonts w:cs="Arial"/>
          <w:color w:val="000000"/>
          <w:lang w:val="en-GB"/>
        </w:rPr>
      </w:pPr>
    </w:p>
    <w:p w:rsidR="00CC1DB7" w:rsidRPr="00F23DC3" w:rsidRDefault="00CC1DB7" w:rsidP="00CC1DB7">
      <w:pPr>
        <w:rPr>
          <w:rFonts w:cs="Arial"/>
          <w:color w:val="000000"/>
          <w:lang w:val="en-GB"/>
        </w:rPr>
      </w:pPr>
    </w:p>
    <w:p w:rsidR="00CC1DB7" w:rsidRPr="00F23DC3" w:rsidRDefault="00CC1DB7" w:rsidP="00CC1DB7">
      <w:pPr>
        <w:rPr>
          <w:rFonts w:cs="Arial"/>
          <w:b/>
          <w:i/>
          <w:lang w:val="en-GB"/>
        </w:rPr>
      </w:pPr>
    </w:p>
    <w:p w:rsidR="00CC1DB7" w:rsidRPr="00F23DC3" w:rsidRDefault="00CC1DB7" w:rsidP="00CC1DB7">
      <w:pPr>
        <w:pStyle w:val="Overskrift3"/>
        <w:rPr>
          <w:lang w:val="en-GB"/>
        </w:rPr>
      </w:pPr>
      <w:r w:rsidRPr="00F23DC3">
        <w:rPr>
          <w:lang w:val="en-GB"/>
        </w:rPr>
        <w:t xml:space="preserve">Area development </w:t>
      </w:r>
    </w:p>
    <w:p w:rsidR="00CC1DB7" w:rsidRPr="00F23DC3" w:rsidRDefault="00CC1DB7" w:rsidP="00CC1DB7">
      <w:pPr>
        <w:ind w:left="357" w:hanging="357"/>
        <w:rPr>
          <w:rFonts w:cs="Arial"/>
          <w:b/>
          <w:i/>
          <w:lang w:val="en-GB"/>
        </w:rPr>
      </w:pPr>
    </w:p>
    <w:p w:rsidR="00CC1DB7" w:rsidRPr="00F23DC3" w:rsidRDefault="005C23AB" w:rsidP="00CC1DB7">
      <w:pPr>
        <w:pStyle w:val="Overskrift4"/>
        <w:rPr>
          <w:lang w:val="en-GB"/>
        </w:rPr>
      </w:pPr>
      <w:r>
        <w:rPr>
          <w:lang w:val="en-GB"/>
        </w:rPr>
        <w:t xml:space="preserve">DGNB </w:t>
      </w:r>
      <w:r w:rsidR="00CC1DB7" w:rsidRPr="00F23DC3">
        <w:rPr>
          <w:lang w:val="en-GB"/>
        </w:rPr>
        <w:t xml:space="preserve">certification </w:t>
      </w:r>
    </w:p>
    <w:p w:rsidR="00CC1DB7" w:rsidRPr="00F23DC3" w:rsidRDefault="00B8035C" w:rsidP="00CC1DB7">
      <w:pPr>
        <w:rPr>
          <w:rFonts w:cs="Arial"/>
          <w:lang w:val="en-GB"/>
        </w:rPr>
      </w:pPr>
      <w:r>
        <w:rPr>
          <w:rFonts w:cs="Arial"/>
          <w:lang w:val="en-GB"/>
        </w:rPr>
        <w:t>CPH City &amp; Port Development</w:t>
      </w:r>
      <w:r w:rsidR="00CC1DB7" w:rsidRPr="00F23DC3">
        <w:rPr>
          <w:rFonts w:cs="Arial"/>
          <w:lang w:val="en-GB"/>
        </w:rPr>
        <w:t xml:space="preserve"> has completed DGNB pre-certification of Sundmolen, Trælastholmen and Levantkaj Vest in Platinum. The halfway certification is expected to be completed when the metro opens. The project regarding the new city district on Levantkaj was submitted for pre-certification in April 2019. Finally, two new city districts are in the pipeline: Vejlandskvarteret and Bådehavnsgade Øst. Pre-certification is expected to be made of these projects in connection with the preparation of the district plan in 2020.</w:t>
      </w:r>
    </w:p>
    <w:p w:rsidR="00CC1DB7" w:rsidRPr="00F23DC3" w:rsidRDefault="00CC1DB7" w:rsidP="00CC1DB7">
      <w:pPr>
        <w:rPr>
          <w:rFonts w:cs="Arial"/>
          <w:lang w:val="en-GB"/>
        </w:rPr>
      </w:pPr>
    </w:p>
    <w:p w:rsidR="005208F7" w:rsidRPr="005C23AB" w:rsidRDefault="00CC1DB7" w:rsidP="00CC1DB7">
      <w:pPr>
        <w:rPr>
          <w:rFonts w:cs="Arial"/>
          <w:lang w:val="en-GB"/>
        </w:rPr>
      </w:pPr>
      <w:r w:rsidRPr="00F23DC3">
        <w:rPr>
          <w:rFonts w:cs="Arial"/>
          <w:lang w:val="en-GB"/>
        </w:rPr>
        <w:t xml:space="preserve">Since 2015, </w:t>
      </w:r>
      <w:r w:rsidR="00B8035C">
        <w:rPr>
          <w:rFonts w:cs="Arial"/>
          <w:lang w:val="en-GB"/>
        </w:rPr>
        <w:t>CPH City &amp; Port Development</w:t>
      </w:r>
      <w:r w:rsidRPr="00F23DC3">
        <w:rPr>
          <w:rFonts w:cs="Arial"/>
          <w:lang w:val="en-GB"/>
        </w:rPr>
        <w:t xml:space="preserve"> has been working actively to integrate DGNB clauses in sales agreements and the share of contracts with a DGNB clause has been steadily increasing in recent years – from 25 per cent in 2016 to 67 per cent in 2018.</w:t>
      </w:r>
      <w:r w:rsidR="005C23AB">
        <w:rPr>
          <w:rFonts w:cs="Arial"/>
          <w:lang w:val="en-GB"/>
        </w:rPr>
        <w:t xml:space="preserve"> </w:t>
      </w:r>
      <w:r w:rsidR="005208F7">
        <w:rPr>
          <w:rFonts w:cs="Arial"/>
          <w:color w:val="212121"/>
          <w:shd w:val="clear" w:color="auto" w:fill="FFFFFF"/>
          <w:lang w:val="en-US"/>
        </w:rPr>
        <w:t>I</w:t>
      </w:r>
      <w:r w:rsidR="005208F7" w:rsidRPr="005208F7">
        <w:rPr>
          <w:rFonts w:cs="Arial"/>
          <w:color w:val="212121"/>
          <w:shd w:val="clear" w:color="auto" w:fill="FFFFFF"/>
          <w:lang w:val="en-US"/>
        </w:rPr>
        <w:t>t takes time to achieve a full implementation of the strategic decision. It has e.g. not been able to incorporate DGNB clause</w:t>
      </w:r>
      <w:r w:rsidR="005C23AB">
        <w:rPr>
          <w:rFonts w:cs="Arial"/>
          <w:color w:val="212121"/>
          <w:shd w:val="clear" w:color="auto" w:fill="FFFFFF"/>
          <w:lang w:val="en-US"/>
        </w:rPr>
        <w:t>s</w:t>
      </w:r>
      <w:r w:rsidR="005208F7" w:rsidRPr="005208F7">
        <w:rPr>
          <w:rFonts w:cs="Arial"/>
          <w:color w:val="212121"/>
          <w:shd w:val="clear" w:color="auto" w:fill="FFFFFF"/>
          <w:lang w:val="en-US"/>
        </w:rPr>
        <w:t xml:space="preserve"> into all </w:t>
      </w:r>
      <w:r w:rsidR="005C23AB">
        <w:rPr>
          <w:rFonts w:cs="Arial"/>
          <w:color w:val="212121"/>
          <w:shd w:val="clear" w:color="auto" w:fill="FFFFFF"/>
          <w:lang w:val="en-US"/>
        </w:rPr>
        <w:t>sales agreements</w:t>
      </w:r>
      <w:r w:rsidR="005208F7" w:rsidRPr="005208F7">
        <w:rPr>
          <w:rFonts w:cs="Arial"/>
          <w:color w:val="212121"/>
          <w:shd w:val="clear" w:color="auto" w:fill="FFFFFF"/>
          <w:lang w:val="en-US"/>
        </w:rPr>
        <w:t xml:space="preserve"> since 2015. Some of the </w:t>
      </w:r>
      <w:r w:rsidR="005C23AB">
        <w:rPr>
          <w:rFonts w:cs="Arial"/>
          <w:color w:val="212121"/>
          <w:shd w:val="clear" w:color="auto" w:fill="FFFFFF"/>
          <w:lang w:val="en-US"/>
        </w:rPr>
        <w:t>sales agreements</w:t>
      </w:r>
      <w:r w:rsidR="005208F7" w:rsidRPr="005208F7">
        <w:rPr>
          <w:rFonts w:cs="Arial"/>
          <w:color w:val="212121"/>
          <w:shd w:val="clear" w:color="auto" w:fill="FFFFFF"/>
          <w:lang w:val="en-US"/>
        </w:rPr>
        <w:t xml:space="preserve"> have been negotiated for several years, </w:t>
      </w:r>
      <w:r w:rsidR="005C23AB">
        <w:rPr>
          <w:rFonts w:cs="Arial"/>
          <w:color w:val="212121"/>
          <w:shd w:val="clear" w:color="auto" w:fill="FFFFFF"/>
          <w:lang w:val="en-US"/>
        </w:rPr>
        <w:t>and therefore</w:t>
      </w:r>
      <w:r w:rsidR="005208F7" w:rsidRPr="005208F7">
        <w:rPr>
          <w:rFonts w:cs="Arial"/>
          <w:color w:val="212121"/>
          <w:shd w:val="clear" w:color="auto" w:fill="FFFFFF"/>
          <w:lang w:val="en-US"/>
        </w:rPr>
        <w:t xml:space="preserve"> it has not been possible to change </w:t>
      </w:r>
      <w:r w:rsidR="005C23AB">
        <w:rPr>
          <w:rFonts w:cs="Arial"/>
          <w:color w:val="212121"/>
          <w:shd w:val="clear" w:color="auto" w:fill="FFFFFF"/>
          <w:lang w:val="en-US"/>
        </w:rPr>
        <w:t xml:space="preserve">the terms in the sales agreements. </w:t>
      </w:r>
      <w:r w:rsidR="005208F7" w:rsidRPr="005208F7">
        <w:rPr>
          <w:rFonts w:cs="Arial"/>
          <w:color w:val="212121"/>
          <w:shd w:val="clear" w:color="auto" w:fill="FFFFFF"/>
          <w:lang w:val="en-US"/>
        </w:rPr>
        <w:t>And for some types of construction</w:t>
      </w:r>
      <w:r w:rsidR="005C23AB">
        <w:rPr>
          <w:rFonts w:cs="Arial"/>
          <w:color w:val="212121"/>
          <w:shd w:val="clear" w:color="auto" w:fill="FFFFFF"/>
          <w:lang w:val="en-US"/>
        </w:rPr>
        <w:t>s</w:t>
      </w:r>
      <w:r w:rsidR="005208F7" w:rsidRPr="005208F7">
        <w:rPr>
          <w:rFonts w:cs="Arial"/>
          <w:color w:val="212121"/>
          <w:shd w:val="clear" w:color="auto" w:fill="FFFFFF"/>
          <w:lang w:val="en-US"/>
        </w:rPr>
        <w:t xml:space="preserve">, there was no DGNB </w:t>
      </w:r>
      <w:r w:rsidR="005C23AB">
        <w:rPr>
          <w:rFonts w:cs="Arial"/>
          <w:color w:val="212121"/>
          <w:shd w:val="clear" w:color="auto" w:fill="FFFFFF"/>
          <w:lang w:val="en-US"/>
        </w:rPr>
        <w:t>certification</w:t>
      </w:r>
      <w:r w:rsidR="005C23AB" w:rsidRPr="005208F7">
        <w:rPr>
          <w:rFonts w:cs="Arial"/>
          <w:color w:val="212121"/>
          <w:shd w:val="clear" w:color="auto" w:fill="FFFFFF"/>
          <w:lang w:val="en-US"/>
        </w:rPr>
        <w:t xml:space="preserve"> </w:t>
      </w:r>
      <w:r w:rsidR="005208F7" w:rsidRPr="005208F7">
        <w:rPr>
          <w:rFonts w:cs="Arial"/>
          <w:color w:val="212121"/>
          <w:shd w:val="clear" w:color="auto" w:fill="FFFFFF"/>
          <w:lang w:val="en-US"/>
        </w:rPr>
        <w:t xml:space="preserve">when the </w:t>
      </w:r>
      <w:r w:rsidR="005C23AB">
        <w:rPr>
          <w:rFonts w:cs="Arial"/>
          <w:color w:val="212121"/>
          <w:shd w:val="clear" w:color="auto" w:fill="FFFFFF"/>
          <w:lang w:val="en-US"/>
        </w:rPr>
        <w:t xml:space="preserve">sales </w:t>
      </w:r>
      <w:r w:rsidR="005208F7" w:rsidRPr="005208F7">
        <w:rPr>
          <w:rFonts w:cs="Arial"/>
          <w:color w:val="212121"/>
          <w:shd w:val="clear" w:color="auto" w:fill="FFFFFF"/>
          <w:lang w:val="en-US"/>
        </w:rPr>
        <w:t>agreements were concluded.</w:t>
      </w:r>
    </w:p>
    <w:p w:rsidR="00CC1DB7" w:rsidRDefault="00CC1DB7" w:rsidP="00CC1DB7"/>
    <w:tbl>
      <w:tblPr>
        <w:tblStyle w:val="Tabel-Gitter"/>
        <w:tblW w:w="0" w:type="auto"/>
        <w:tblLook w:val="04A0" w:firstRow="1" w:lastRow="0" w:firstColumn="1" w:lastColumn="0" w:noHBand="0" w:noVBand="1"/>
      </w:tblPr>
      <w:tblGrid>
        <w:gridCol w:w="3402"/>
        <w:gridCol w:w="661"/>
        <w:gridCol w:w="661"/>
        <w:gridCol w:w="661"/>
        <w:gridCol w:w="661"/>
      </w:tblGrid>
      <w:tr w:rsidR="005C23AB" w:rsidRPr="00C65B43" w:rsidTr="005C23AB">
        <w:tc>
          <w:tcPr>
            <w:tcW w:w="3402" w:type="dxa"/>
          </w:tcPr>
          <w:p w:rsidR="005C23AB" w:rsidRDefault="005C23AB" w:rsidP="00CC1DB7"/>
        </w:tc>
        <w:tc>
          <w:tcPr>
            <w:tcW w:w="567" w:type="dxa"/>
          </w:tcPr>
          <w:p w:rsidR="005C23AB" w:rsidRPr="00C65B43" w:rsidRDefault="005C23AB" w:rsidP="005C23AB">
            <w:pPr>
              <w:jc w:val="right"/>
            </w:pPr>
            <w:r w:rsidRPr="00C65B43">
              <w:t>2015</w:t>
            </w:r>
          </w:p>
        </w:tc>
        <w:tc>
          <w:tcPr>
            <w:tcW w:w="567" w:type="dxa"/>
          </w:tcPr>
          <w:p w:rsidR="005C23AB" w:rsidRPr="00C65B43" w:rsidRDefault="005C23AB" w:rsidP="005C23AB">
            <w:pPr>
              <w:jc w:val="right"/>
            </w:pPr>
            <w:r w:rsidRPr="00C65B43">
              <w:t>2016</w:t>
            </w:r>
          </w:p>
        </w:tc>
        <w:tc>
          <w:tcPr>
            <w:tcW w:w="567" w:type="dxa"/>
          </w:tcPr>
          <w:p w:rsidR="005C23AB" w:rsidRPr="00C65B43" w:rsidRDefault="005C23AB" w:rsidP="005C23AB">
            <w:pPr>
              <w:jc w:val="right"/>
            </w:pPr>
            <w:r w:rsidRPr="00C65B43">
              <w:t>2017</w:t>
            </w:r>
          </w:p>
        </w:tc>
        <w:tc>
          <w:tcPr>
            <w:tcW w:w="567" w:type="dxa"/>
          </w:tcPr>
          <w:p w:rsidR="005C23AB" w:rsidRPr="00C65B43" w:rsidRDefault="005C23AB" w:rsidP="005C23AB">
            <w:pPr>
              <w:jc w:val="right"/>
            </w:pPr>
            <w:r w:rsidRPr="00C65B43">
              <w:t>2018</w:t>
            </w:r>
          </w:p>
        </w:tc>
      </w:tr>
      <w:tr w:rsidR="005C23AB" w:rsidTr="005C23AB">
        <w:tc>
          <w:tcPr>
            <w:tcW w:w="3402" w:type="dxa"/>
          </w:tcPr>
          <w:p w:rsidR="005C23AB" w:rsidRPr="005C23AB" w:rsidRDefault="005C23AB" w:rsidP="00CC1DB7">
            <w:pPr>
              <w:rPr>
                <w:lang w:val="en-US"/>
              </w:rPr>
            </w:pPr>
            <w:r w:rsidRPr="005C23AB">
              <w:rPr>
                <w:szCs w:val="22"/>
                <w:lang w:val="en-US"/>
              </w:rPr>
              <w:t xml:space="preserve">Number of </w:t>
            </w:r>
            <w:r w:rsidRPr="005C23AB">
              <w:rPr>
                <w:lang w:val="en-US"/>
              </w:rPr>
              <w:t xml:space="preserve">concluded </w:t>
            </w:r>
            <w:r w:rsidRPr="005C23AB">
              <w:rPr>
                <w:szCs w:val="22"/>
                <w:lang w:val="en-US"/>
              </w:rPr>
              <w:t>sales agreements</w:t>
            </w:r>
          </w:p>
        </w:tc>
        <w:tc>
          <w:tcPr>
            <w:tcW w:w="567" w:type="dxa"/>
          </w:tcPr>
          <w:p w:rsidR="005C23AB" w:rsidRDefault="005C23AB" w:rsidP="005C23AB">
            <w:pPr>
              <w:jc w:val="right"/>
            </w:pPr>
            <w:r>
              <w:t>4</w:t>
            </w:r>
          </w:p>
        </w:tc>
        <w:tc>
          <w:tcPr>
            <w:tcW w:w="567" w:type="dxa"/>
          </w:tcPr>
          <w:p w:rsidR="005C23AB" w:rsidRDefault="005C23AB" w:rsidP="005C23AB">
            <w:pPr>
              <w:jc w:val="right"/>
            </w:pPr>
            <w:r>
              <w:t>20</w:t>
            </w:r>
          </w:p>
        </w:tc>
        <w:tc>
          <w:tcPr>
            <w:tcW w:w="567" w:type="dxa"/>
          </w:tcPr>
          <w:p w:rsidR="005C23AB" w:rsidRDefault="005C23AB" w:rsidP="005C23AB">
            <w:pPr>
              <w:jc w:val="right"/>
            </w:pPr>
            <w:r>
              <w:t>18</w:t>
            </w:r>
          </w:p>
        </w:tc>
        <w:tc>
          <w:tcPr>
            <w:tcW w:w="567" w:type="dxa"/>
          </w:tcPr>
          <w:p w:rsidR="005C23AB" w:rsidRDefault="005C23AB" w:rsidP="005C23AB">
            <w:pPr>
              <w:jc w:val="right"/>
            </w:pPr>
            <w:r>
              <w:t>9</w:t>
            </w:r>
          </w:p>
        </w:tc>
      </w:tr>
      <w:tr w:rsidR="005C23AB" w:rsidTr="005C23AB">
        <w:tc>
          <w:tcPr>
            <w:tcW w:w="3402" w:type="dxa"/>
          </w:tcPr>
          <w:p w:rsidR="005C23AB" w:rsidRPr="005C23AB" w:rsidRDefault="005C23AB" w:rsidP="00CC1DB7">
            <w:pPr>
              <w:rPr>
                <w:lang w:val="en-US"/>
              </w:rPr>
            </w:pPr>
            <w:r w:rsidRPr="005C23AB">
              <w:rPr>
                <w:szCs w:val="22"/>
                <w:lang w:val="en-US"/>
              </w:rPr>
              <w:t>Of which DGNB clause</w:t>
            </w:r>
          </w:p>
        </w:tc>
        <w:tc>
          <w:tcPr>
            <w:tcW w:w="567" w:type="dxa"/>
          </w:tcPr>
          <w:p w:rsidR="005C23AB" w:rsidRDefault="005C23AB" w:rsidP="005C23AB">
            <w:pPr>
              <w:jc w:val="right"/>
            </w:pPr>
            <w:r>
              <w:t>0</w:t>
            </w:r>
          </w:p>
        </w:tc>
        <w:tc>
          <w:tcPr>
            <w:tcW w:w="567" w:type="dxa"/>
          </w:tcPr>
          <w:p w:rsidR="005C23AB" w:rsidRDefault="005C23AB" w:rsidP="005C23AB">
            <w:pPr>
              <w:jc w:val="right"/>
            </w:pPr>
            <w:r>
              <w:t>5</w:t>
            </w:r>
          </w:p>
          <w:p w:rsidR="005C23AB" w:rsidRDefault="005C23AB" w:rsidP="005C23AB">
            <w:pPr>
              <w:jc w:val="right"/>
            </w:pPr>
          </w:p>
        </w:tc>
        <w:tc>
          <w:tcPr>
            <w:tcW w:w="567" w:type="dxa"/>
          </w:tcPr>
          <w:p w:rsidR="005C23AB" w:rsidRDefault="005C23AB" w:rsidP="005C23AB">
            <w:pPr>
              <w:jc w:val="right"/>
            </w:pPr>
            <w:r>
              <w:t>9</w:t>
            </w:r>
          </w:p>
        </w:tc>
        <w:tc>
          <w:tcPr>
            <w:tcW w:w="567" w:type="dxa"/>
          </w:tcPr>
          <w:p w:rsidR="005C23AB" w:rsidRDefault="005C23AB" w:rsidP="005C23AB">
            <w:pPr>
              <w:jc w:val="right"/>
            </w:pPr>
            <w:r>
              <w:t>6</w:t>
            </w:r>
          </w:p>
        </w:tc>
      </w:tr>
      <w:tr w:rsidR="005C23AB" w:rsidTr="005C23AB">
        <w:tc>
          <w:tcPr>
            <w:tcW w:w="3402" w:type="dxa"/>
          </w:tcPr>
          <w:p w:rsidR="005C23AB" w:rsidRDefault="005C23AB" w:rsidP="00CC1DB7">
            <w:r>
              <w:t>Procent</w:t>
            </w:r>
          </w:p>
        </w:tc>
        <w:tc>
          <w:tcPr>
            <w:tcW w:w="567" w:type="dxa"/>
          </w:tcPr>
          <w:p w:rsidR="005C23AB" w:rsidRDefault="005C23AB" w:rsidP="005C23AB">
            <w:pPr>
              <w:jc w:val="right"/>
            </w:pPr>
            <w:r>
              <w:t>0%</w:t>
            </w:r>
          </w:p>
        </w:tc>
        <w:tc>
          <w:tcPr>
            <w:tcW w:w="567" w:type="dxa"/>
          </w:tcPr>
          <w:p w:rsidR="005C23AB" w:rsidRDefault="005C23AB" w:rsidP="005C23AB">
            <w:pPr>
              <w:jc w:val="right"/>
            </w:pPr>
            <w:r>
              <w:t>25%</w:t>
            </w:r>
          </w:p>
        </w:tc>
        <w:tc>
          <w:tcPr>
            <w:tcW w:w="567" w:type="dxa"/>
          </w:tcPr>
          <w:p w:rsidR="005C23AB" w:rsidRDefault="005C23AB" w:rsidP="005C23AB">
            <w:pPr>
              <w:jc w:val="right"/>
            </w:pPr>
            <w:r>
              <w:t>50%</w:t>
            </w:r>
          </w:p>
        </w:tc>
        <w:tc>
          <w:tcPr>
            <w:tcW w:w="567" w:type="dxa"/>
          </w:tcPr>
          <w:p w:rsidR="005C23AB" w:rsidRDefault="005C23AB" w:rsidP="005C23AB">
            <w:pPr>
              <w:jc w:val="right"/>
            </w:pPr>
            <w:r>
              <w:t>67%</w:t>
            </w:r>
          </w:p>
        </w:tc>
      </w:tr>
    </w:tbl>
    <w:p w:rsidR="005C23AB" w:rsidRDefault="005C23AB" w:rsidP="00CC1DB7"/>
    <w:p w:rsidR="00CC1DB7" w:rsidRPr="00F23DC3" w:rsidRDefault="00CC1DB7" w:rsidP="00CC1DB7">
      <w:pPr>
        <w:rPr>
          <w:lang w:val="en-GB"/>
        </w:rPr>
      </w:pPr>
      <w:r w:rsidRPr="00F23DC3">
        <w:rPr>
          <w:lang w:val="en-GB"/>
        </w:rPr>
        <w:t xml:space="preserve">Generally, the clients are required to achieve Gold as a minimum in connection with building activities in the company's areas but in special cases, </w:t>
      </w:r>
      <w:r w:rsidR="00B8035C">
        <w:rPr>
          <w:lang w:val="en-GB"/>
        </w:rPr>
        <w:t>CPH City &amp; Port Development</w:t>
      </w:r>
      <w:r w:rsidRPr="00F23DC3">
        <w:rPr>
          <w:lang w:val="en-GB"/>
        </w:rPr>
        <w:t xml:space="preserve"> has accepted Silver certification of a building activity.</w:t>
      </w:r>
    </w:p>
    <w:p w:rsidR="00CC1DB7" w:rsidRPr="00F23DC3" w:rsidRDefault="00CC1DB7" w:rsidP="00CC1DB7">
      <w:pPr>
        <w:rPr>
          <w:lang w:val="en-GB"/>
        </w:rPr>
      </w:pPr>
      <w:bookmarkStart w:id="29" w:name="_GoBack"/>
      <w:bookmarkEnd w:id="29"/>
    </w:p>
    <w:p w:rsidR="00CC1DB7" w:rsidRPr="00F23DC3" w:rsidRDefault="00CC1DB7" w:rsidP="00CC1DB7">
      <w:pPr>
        <w:rPr>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23DC3" w:rsidTr="006A0F52">
        <w:tc>
          <w:tcPr>
            <w:tcW w:w="3794" w:type="dxa"/>
            <w:shd w:val="clear" w:color="auto" w:fill="F2F2F2" w:themeFill="background1" w:themeFillShade="F2"/>
          </w:tcPr>
          <w:p w:rsidR="00CC1DB7" w:rsidRPr="00F23DC3" w:rsidRDefault="00CC1DB7" w:rsidP="006A0F52">
            <w:pPr>
              <w:rPr>
                <w:rFonts w:cs="Arial"/>
                <w:b/>
                <w:lang w:val="en-GB"/>
              </w:rPr>
            </w:pPr>
            <w:r w:rsidRPr="00F23DC3">
              <w:rPr>
                <w:rFonts w:cs="Arial"/>
                <w:lang w:val="en-GB"/>
              </w:rPr>
              <w:t>Goals for 2018</w:t>
            </w:r>
          </w:p>
        </w:tc>
        <w:tc>
          <w:tcPr>
            <w:tcW w:w="3685" w:type="dxa"/>
            <w:shd w:val="clear" w:color="auto" w:fill="F2F2F2" w:themeFill="background1" w:themeFillShade="F2"/>
          </w:tcPr>
          <w:p w:rsidR="00CC1DB7" w:rsidRPr="00F23DC3" w:rsidRDefault="00CC1DB7" w:rsidP="006A0F52">
            <w:pPr>
              <w:rPr>
                <w:rFonts w:cs="Arial"/>
                <w:szCs w:val="20"/>
                <w:lang w:val="en-GB"/>
              </w:rPr>
            </w:pPr>
            <w:r w:rsidRPr="00F23DC3">
              <w:rPr>
                <w:rFonts w:cs="Arial"/>
                <w:lang w:val="en-GB"/>
              </w:rPr>
              <w:t>Status of actions</w:t>
            </w:r>
          </w:p>
        </w:tc>
      </w:tr>
      <w:tr w:rsidR="00CC1DB7" w:rsidRPr="00F23DC3" w:rsidDel="00EC3FC0" w:rsidTr="006A0F52">
        <w:tc>
          <w:tcPr>
            <w:tcW w:w="3794" w:type="dxa"/>
          </w:tcPr>
          <w:p w:rsidR="00CC1DB7" w:rsidRPr="00F23DC3" w:rsidRDefault="00CC1DB7" w:rsidP="006A0F52">
            <w:pPr>
              <w:rPr>
                <w:rFonts w:cs="Arial"/>
                <w:lang w:val="en-GB"/>
              </w:rPr>
            </w:pPr>
            <w:r w:rsidRPr="00F23DC3">
              <w:rPr>
                <w:rFonts w:cs="Arial"/>
                <w:lang w:val="en-GB"/>
              </w:rPr>
              <w:t>To prepare the pre-certification of Levantkaj acc. to DGNB in 2019.</w:t>
            </w:r>
          </w:p>
        </w:tc>
        <w:tc>
          <w:tcPr>
            <w:tcW w:w="3685" w:type="dxa"/>
          </w:tcPr>
          <w:p w:rsidR="00CC1DB7" w:rsidRPr="00F23DC3" w:rsidDel="00EC3FC0" w:rsidRDefault="00CC1DB7" w:rsidP="006A0F52">
            <w:pPr>
              <w:rPr>
                <w:rFonts w:cs="Arial"/>
                <w:szCs w:val="20"/>
                <w:lang w:val="en-GB"/>
              </w:rPr>
            </w:pPr>
            <w:r w:rsidRPr="00F23DC3">
              <w:rPr>
                <w:rFonts w:cs="Arial"/>
                <w:szCs w:val="20"/>
                <w:lang w:val="en-GB"/>
              </w:rPr>
              <w:t xml:space="preserve">Achieved </w:t>
            </w:r>
          </w:p>
        </w:tc>
      </w:tr>
    </w:tbl>
    <w:p w:rsidR="00CC1DB7" w:rsidRPr="00F23DC3" w:rsidRDefault="00CC1DB7" w:rsidP="00CC1DB7">
      <w:pPr>
        <w:rPr>
          <w:rFonts w:cs="Arial"/>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23DC3" w:rsidTr="006A0F52">
        <w:tc>
          <w:tcPr>
            <w:tcW w:w="3794" w:type="dxa"/>
            <w:shd w:val="clear" w:color="auto" w:fill="F2F2F2" w:themeFill="background1" w:themeFillShade="F2"/>
          </w:tcPr>
          <w:p w:rsidR="00CC1DB7" w:rsidRPr="00F23DC3" w:rsidRDefault="00CC1DB7" w:rsidP="006A0F52">
            <w:pPr>
              <w:rPr>
                <w:rFonts w:cs="Arial"/>
                <w:b/>
                <w:lang w:val="en-GB"/>
              </w:rPr>
            </w:pPr>
            <w:r w:rsidRPr="00F23DC3">
              <w:rPr>
                <w:rFonts w:cs="Arial"/>
                <w:lang w:val="en-GB"/>
              </w:rPr>
              <w:t>Goals for 2019</w:t>
            </w:r>
          </w:p>
        </w:tc>
        <w:tc>
          <w:tcPr>
            <w:tcW w:w="3685" w:type="dxa"/>
            <w:shd w:val="clear" w:color="auto" w:fill="F2F2F2" w:themeFill="background1" w:themeFillShade="F2"/>
          </w:tcPr>
          <w:p w:rsidR="00CC1DB7" w:rsidRPr="00F23DC3" w:rsidRDefault="00CC1DB7" w:rsidP="006A0F52">
            <w:pPr>
              <w:rPr>
                <w:rFonts w:cs="Arial"/>
                <w:szCs w:val="20"/>
                <w:lang w:val="en-GB"/>
              </w:rPr>
            </w:pPr>
            <w:r w:rsidRPr="00F23DC3">
              <w:rPr>
                <w:rFonts w:cs="Arial"/>
                <w:lang w:val="en-GB"/>
              </w:rPr>
              <w:t>Status of actions</w:t>
            </w:r>
          </w:p>
        </w:tc>
      </w:tr>
      <w:tr w:rsidR="00CC1DB7" w:rsidRPr="00F23DC3" w:rsidTr="006A0F52">
        <w:tc>
          <w:tcPr>
            <w:tcW w:w="3794" w:type="dxa"/>
          </w:tcPr>
          <w:p w:rsidR="00CC1DB7" w:rsidRPr="00F23DC3" w:rsidRDefault="00CC1DB7" w:rsidP="006A0F52">
            <w:pPr>
              <w:spacing w:after="240"/>
              <w:rPr>
                <w:rFonts w:cs="Arial"/>
                <w:lang w:val="en-GB"/>
              </w:rPr>
            </w:pPr>
            <w:r w:rsidRPr="00F23DC3">
              <w:rPr>
                <w:lang w:val="en-GB"/>
              </w:rPr>
              <w:t xml:space="preserve">Approval of the pre-certification of Levantkaj </w:t>
            </w:r>
          </w:p>
        </w:tc>
        <w:tc>
          <w:tcPr>
            <w:tcW w:w="3685" w:type="dxa"/>
          </w:tcPr>
          <w:p w:rsidR="00CC1DB7" w:rsidRPr="00F23DC3" w:rsidRDefault="00CC1DB7" w:rsidP="006A0F52">
            <w:pPr>
              <w:rPr>
                <w:rFonts w:cs="Arial"/>
                <w:szCs w:val="20"/>
                <w:lang w:val="en-GB"/>
              </w:rPr>
            </w:pPr>
            <w:r w:rsidRPr="00F23DC3">
              <w:rPr>
                <w:rFonts w:cs="Arial"/>
                <w:szCs w:val="20"/>
                <w:lang w:val="en-GB"/>
              </w:rPr>
              <w:t>To be implemented in 2019</w:t>
            </w:r>
          </w:p>
        </w:tc>
      </w:tr>
      <w:tr w:rsidR="00CC1DB7" w:rsidRPr="00F23DC3" w:rsidTr="006A0F52">
        <w:tc>
          <w:tcPr>
            <w:tcW w:w="3794" w:type="dxa"/>
          </w:tcPr>
          <w:p w:rsidR="00CC1DB7" w:rsidRPr="00F23DC3" w:rsidRDefault="00CC1DB7" w:rsidP="006A0F52">
            <w:pPr>
              <w:spacing w:after="240"/>
              <w:rPr>
                <w:lang w:val="en-GB"/>
              </w:rPr>
            </w:pPr>
            <w:r w:rsidRPr="00F23DC3">
              <w:rPr>
                <w:lang w:val="en-GB"/>
              </w:rPr>
              <w:t>To prepare the pre-certification of the city districts Vejlandskvarteret and Bådehavnsgade acc. to DGNB.</w:t>
            </w:r>
          </w:p>
        </w:tc>
        <w:tc>
          <w:tcPr>
            <w:tcW w:w="3685" w:type="dxa"/>
          </w:tcPr>
          <w:p w:rsidR="00CC1DB7" w:rsidRPr="00F23DC3" w:rsidRDefault="00CC1DB7" w:rsidP="006A0F52">
            <w:pPr>
              <w:rPr>
                <w:rFonts w:cs="Arial"/>
                <w:szCs w:val="20"/>
                <w:highlight w:val="yellow"/>
                <w:lang w:val="en-GB"/>
              </w:rPr>
            </w:pPr>
            <w:r w:rsidRPr="00F23DC3">
              <w:rPr>
                <w:rFonts w:cs="Arial"/>
                <w:szCs w:val="20"/>
                <w:lang w:val="en-GB"/>
              </w:rPr>
              <w:t>To be implemented in 2019</w:t>
            </w:r>
          </w:p>
        </w:tc>
      </w:tr>
    </w:tbl>
    <w:p w:rsidR="00CC1DB7" w:rsidRPr="00F23DC3" w:rsidRDefault="00CC1DB7" w:rsidP="00CC1DB7">
      <w:pPr>
        <w:rPr>
          <w:rFonts w:cs="Arial"/>
          <w:lang w:val="en-GB"/>
        </w:rPr>
      </w:pPr>
    </w:p>
    <w:p w:rsidR="00C65B43" w:rsidRDefault="00C65B43">
      <w:pPr>
        <w:spacing w:after="200" w:line="276" w:lineRule="auto"/>
        <w:rPr>
          <w:rFonts w:cs="Arial"/>
          <w:lang w:val="en-GB"/>
        </w:rPr>
      </w:pPr>
      <w:r>
        <w:rPr>
          <w:rFonts w:cs="Arial"/>
          <w:lang w:val="en-GB"/>
        </w:rPr>
        <w:br w:type="page"/>
      </w:r>
    </w:p>
    <w:p w:rsidR="00CC1DB7" w:rsidRPr="00F23DC3" w:rsidRDefault="00CC1DB7" w:rsidP="00CC1DB7">
      <w:pPr>
        <w:rPr>
          <w:rFonts w:cs="Arial"/>
          <w:lang w:val="en-GB"/>
        </w:rPr>
      </w:pPr>
    </w:p>
    <w:p w:rsidR="00CC1DB7" w:rsidRPr="00F23DC3" w:rsidRDefault="00CC1DB7" w:rsidP="00CC1DB7">
      <w:pPr>
        <w:pStyle w:val="Overskrift4"/>
        <w:rPr>
          <w:lang w:val="en-GB"/>
        </w:rPr>
      </w:pPr>
      <w:r w:rsidRPr="00F23DC3">
        <w:rPr>
          <w:lang w:val="en-GB"/>
        </w:rPr>
        <w:t>Strategic partnerships in relation to environmental and social sustainability</w:t>
      </w:r>
    </w:p>
    <w:p w:rsidR="00CC1DB7" w:rsidRPr="00F23DC3" w:rsidRDefault="00CC1DB7" w:rsidP="00CC1DB7">
      <w:pPr>
        <w:rPr>
          <w:rFonts w:cs="Arial"/>
          <w:lang w:val="en-GB"/>
        </w:rPr>
      </w:pPr>
    </w:p>
    <w:p w:rsidR="00CC1DB7" w:rsidRPr="00F23DC3" w:rsidRDefault="00B8035C" w:rsidP="00CC1DB7">
      <w:pPr>
        <w:pStyle w:val="Listeafsnit"/>
        <w:numPr>
          <w:ilvl w:val="0"/>
          <w:numId w:val="8"/>
        </w:numPr>
        <w:spacing w:after="0" w:line="240" w:lineRule="auto"/>
        <w:ind w:left="567" w:hanging="567"/>
        <w:rPr>
          <w:rFonts w:cs="Arial"/>
          <w:lang w:val="en-GB"/>
        </w:rPr>
      </w:pPr>
      <w:r>
        <w:rPr>
          <w:rFonts w:cs="Arial"/>
          <w:lang w:val="en-GB"/>
        </w:rPr>
        <w:t>CPH City &amp; Port Development</w:t>
      </w:r>
      <w:r w:rsidR="00CC1DB7" w:rsidRPr="00F23DC3">
        <w:rPr>
          <w:rFonts w:cs="Arial"/>
          <w:lang w:val="en-GB"/>
        </w:rPr>
        <w:t xml:space="preserve"> also enters into various strategic partnership in order to promote sustainable urban development, both in terms of environmental and social sustainability. These include: EnergyLab Nordhavn, which is 4½-year partnership between </w:t>
      </w:r>
      <w:r>
        <w:rPr>
          <w:rFonts w:cs="Arial"/>
          <w:lang w:val="en-GB"/>
        </w:rPr>
        <w:t>CPH City &amp; Port Development</w:t>
      </w:r>
      <w:r w:rsidR="00CC1DB7" w:rsidRPr="00F23DC3">
        <w:rPr>
          <w:rFonts w:cs="Arial"/>
          <w:lang w:val="en-GB"/>
        </w:rPr>
        <w:t>, DTU, the City of Copenhagen, HOFOR, Radius and various suppliers with the purpose of testing sustainable solutions in heating, cooling and electricity in Nordhavn.</w:t>
      </w:r>
      <w:r w:rsidR="00CC1DB7" w:rsidRPr="00F23DC3">
        <w:rPr>
          <w:rFonts w:cs="Arial"/>
          <w:lang w:val="en-GB"/>
        </w:rPr>
        <w:br/>
      </w:r>
    </w:p>
    <w:p w:rsidR="00CC1DB7" w:rsidRPr="00F23DC3" w:rsidRDefault="00CC1DB7" w:rsidP="00CC1DB7">
      <w:pPr>
        <w:pStyle w:val="Listeafsnit"/>
        <w:numPr>
          <w:ilvl w:val="0"/>
          <w:numId w:val="8"/>
        </w:numPr>
        <w:spacing w:after="0" w:line="240" w:lineRule="auto"/>
        <w:ind w:left="567" w:hanging="567"/>
        <w:rPr>
          <w:rFonts w:cs="Arial"/>
          <w:lang w:val="en-GB"/>
        </w:rPr>
      </w:pPr>
      <w:r w:rsidRPr="00F23DC3">
        <w:rPr>
          <w:rFonts w:cs="Arial"/>
          <w:lang w:val="en-GB"/>
        </w:rPr>
        <w:t xml:space="preserve">The Horizon 2020 project "AVENUE", which is a test of automotive busses where </w:t>
      </w:r>
      <w:r w:rsidR="00B8035C">
        <w:rPr>
          <w:rFonts w:cs="Arial"/>
          <w:lang w:val="en-GB"/>
        </w:rPr>
        <w:t>CPH City &amp; Port Development</w:t>
      </w:r>
      <w:r w:rsidRPr="00F23DC3">
        <w:rPr>
          <w:rFonts w:cs="Arial"/>
          <w:lang w:val="en-GB"/>
        </w:rPr>
        <w:t xml:space="preserve"> together with Autonomous Mobility and 15 other partners test and compare automotive transport in Nordhavn, Geneva, Lyon and Luxembourg over the next 4 years. </w:t>
      </w:r>
      <w:r w:rsidRPr="00F23DC3">
        <w:rPr>
          <w:rFonts w:cs="Arial"/>
          <w:lang w:val="en-GB"/>
        </w:rPr>
        <w:br/>
      </w:r>
    </w:p>
    <w:p w:rsidR="00CC1DB7" w:rsidRPr="00F23DC3" w:rsidRDefault="00CC1DB7" w:rsidP="00CC1DB7">
      <w:pPr>
        <w:pStyle w:val="Listeafsnit"/>
        <w:numPr>
          <w:ilvl w:val="0"/>
          <w:numId w:val="8"/>
        </w:numPr>
        <w:spacing w:after="0" w:line="240" w:lineRule="auto"/>
        <w:ind w:left="567" w:hanging="567"/>
        <w:rPr>
          <w:rFonts w:cs="Arial"/>
          <w:lang w:val="en-GB"/>
        </w:rPr>
      </w:pPr>
      <w:r w:rsidRPr="00F23DC3">
        <w:rPr>
          <w:lang w:val="en-GB"/>
        </w:rPr>
        <w:t>SIMS, a 4-year project regarding mobility patterns supported by the Innovationsfonden which compares the use of city bikes, shared cars and collective transport in Nordhavn, Folehavnen and Nærheden in Høje Taastrup). Partnership between the University of Aalborg, the City of Copenhagen, Høje Taastrup Municipality and various operators.</w:t>
      </w:r>
    </w:p>
    <w:p w:rsidR="00CC1DB7" w:rsidRPr="00F23DC3" w:rsidRDefault="00CC1DB7" w:rsidP="00CC1DB7">
      <w:pPr>
        <w:ind w:left="567" w:hanging="567"/>
        <w:contextualSpacing/>
        <w:rPr>
          <w:rFonts w:cs="Arial"/>
          <w:lang w:val="en-GB"/>
        </w:rPr>
      </w:pPr>
    </w:p>
    <w:p w:rsidR="00CC1DB7" w:rsidRPr="00F23DC3" w:rsidRDefault="00CC1DB7" w:rsidP="00CC1DB7">
      <w:pPr>
        <w:pStyle w:val="Listeafsnit"/>
        <w:numPr>
          <w:ilvl w:val="0"/>
          <w:numId w:val="8"/>
        </w:numPr>
        <w:spacing w:after="0" w:line="240" w:lineRule="auto"/>
        <w:ind w:left="567" w:hanging="567"/>
        <w:rPr>
          <w:rFonts w:cs="Arial"/>
          <w:lang w:val="en-GB"/>
        </w:rPr>
      </w:pPr>
      <w:r w:rsidRPr="00F23DC3">
        <w:rPr>
          <w:rFonts w:cs="Arial"/>
          <w:lang w:val="en-GB"/>
        </w:rPr>
        <w:t xml:space="preserve">Naturpark Amager, which is a partnership between the Danish Nature Agency, the City of Copenhagen, Tårnby and Dragør municipalities and </w:t>
      </w:r>
      <w:r w:rsidR="00B8035C">
        <w:rPr>
          <w:rFonts w:cs="Arial"/>
          <w:lang w:val="en-GB"/>
        </w:rPr>
        <w:t>CPH City &amp; Port Development</w:t>
      </w:r>
      <w:r w:rsidRPr="00F23DC3">
        <w:rPr>
          <w:rFonts w:cs="Arial"/>
          <w:lang w:val="en-GB"/>
        </w:rPr>
        <w:t xml:space="preserve">. Its purpose is to develop recreational offers in the nature park – the largest natural resort in the Danish capital – and to entice more Copenhageners to use the area. In a close dialogue with users and citizens alike, efforts are focused on nature and outdoor activities as well as scenic correlations between nature and city. Three new main entrances are planned in the transition between Ørestad and nature as well as various blue supports along the nature park and the water surrounding the nature park. The supports also assist </w:t>
      </w:r>
      <w:r w:rsidR="00B8035C">
        <w:rPr>
          <w:rFonts w:cs="Arial"/>
          <w:lang w:val="en-GB"/>
        </w:rPr>
        <w:t>CPH City &amp; Port Development</w:t>
      </w:r>
      <w:r w:rsidRPr="00F23DC3">
        <w:rPr>
          <w:rFonts w:cs="Arial"/>
          <w:lang w:val="en-GB"/>
        </w:rPr>
        <w:t>'s implementation of a new harbour strategy.</w:t>
      </w:r>
    </w:p>
    <w:p w:rsidR="00CC1DB7" w:rsidRPr="00F23DC3" w:rsidRDefault="00CC1DB7" w:rsidP="00CC1DB7">
      <w:pPr>
        <w:pStyle w:val="Listeafsnit"/>
        <w:spacing w:after="0" w:line="240" w:lineRule="auto"/>
        <w:ind w:left="567"/>
        <w:rPr>
          <w:rFonts w:cs="Arial"/>
          <w:lang w:val="en-GB"/>
        </w:rPr>
      </w:pPr>
    </w:p>
    <w:p w:rsidR="00CC1DB7" w:rsidRPr="00F23DC3" w:rsidRDefault="00CC1DB7" w:rsidP="00CC1DB7">
      <w:pPr>
        <w:pStyle w:val="Listeafsnit"/>
        <w:numPr>
          <w:ilvl w:val="0"/>
          <w:numId w:val="8"/>
        </w:numPr>
        <w:spacing w:after="0" w:line="240" w:lineRule="auto"/>
        <w:ind w:left="567" w:hanging="567"/>
        <w:rPr>
          <w:rFonts w:cs="Arial"/>
          <w:lang w:val="en-GB"/>
        </w:rPr>
      </w:pPr>
      <w:r w:rsidRPr="00F23DC3">
        <w:rPr>
          <w:lang w:val="en-GB"/>
        </w:rPr>
        <w:t xml:space="preserve">Green solutions in harbour operations which is a partnership between </w:t>
      </w:r>
      <w:r w:rsidR="00B8035C">
        <w:rPr>
          <w:lang w:val="en-GB"/>
        </w:rPr>
        <w:t>CPH City &amp; Port Development</w:t>
      </w:r>
      <w:r w:rsidRPr="00F23DC3">
        <w:rPr>
          <w:lang w:val="en-GB"/>
        </w:rPr>
        <w:t>, Copenhagen Malmø Port and the City of Copenhagen with the purpose of improving air quality for the citizens and neighbours of Copenhagen harbour and limiting the emissions from cruise ships in the districts close to the harbour. At first, this will be implemented by planning a land-based power system for cruise ships at the Oceankaj in Nordhavn which is expected to be finished in 2021. Beyond that, the collaboration will look at how to reduce emissions from canal tour boats and find a model for establishing a land-based power system at Langelinie. Finally, focus will be on establishing a Nordic collaboration regarding land-based power systems in harbours in the Baltic region. </w:t>
      </w:r>
    </w:p>
    <w:p w:rsidR="00CC1DB7" w:rsidRPr="00F23DC3" w:rsidRDefault="00CC1DB7" w:rsidP="00CC1DB7">
      <w:pPr>
        <w:pStyle w:val="Listeafsnit"/>
        <w:rPr>
          <w:szCs w:val="24"/>
          <w:lang w:val="en-GB"/>
        </w:rPr>
      </w:pPr>
    </w:p>
    <w:tbl>
      <w:tblPr>
        <w:tblStyle w:val="Tabel-Gitter"/>
        <w:tblW w:w="0" w:type="auto"/>
        <w:tblLook w:val="04A0" w:firstRow="1" w:lastRow="0" w:firstColumn="1" w:lastColumn="0" w:noHBand="0" w:noVBand="1"/>
      </w:tblPr>
      <w:tblGrid>
        <w:gridCol w:w="3680"/>
        <w:gridCol w:w="3681"/>
      </w:tblGrid>
      <w:tr w:rsidR="00CC1DB7" w:rsidRPr="00F23DC3" w:rsidTr="006A0F52">
        <w:tc>
          <w:tcPr>
            <w:tcW w:w="3680" w:type="dxa"/>
            <w:shd w:val="clear" w:color="auto" w:fill="F2F2F2" w:themeFill="background1" w:themeFillShade="F2"/>
          </w:tcPr>
          <w:p w:rsidR="00CC1DB7" w:rsidRPr="00F23DC3" w:rsidRDefault="00CC1DB7" w:rsidP="006A0F52">
            <w:pPr>
              <w:rPr>
                <w:lang w:val="en-GB"/>
              </w:rPr>
            </w:pPr>
            <w:r w:rsidRPr="00F23DC3">
              <w:rPr>
                <w:lang w:val="en-GB"/>
              </w:rPr>
              <w:t>Goals for 2019</w:t>
            </w:r>
          </w:p>
        </w:tc>
        <w:tc>
          <w:tcPr>
            <w:tcW w:w="3681" w:type="dxa"/>
            <w:shd w:val="clear" w:color="auto" w:fill="F2F2F2" w:themeFill="background1" w:themeFillShade="F2"/>
          </w:tcPr>
          <w:p w:rsidR="00CC1DB7" w:rsidRPr="00F23DC3" w:rsidRDefault="00CC1DB7" w:rsidP="006A0F52">
            <w:pPr>
              <w:rPr>
                <w:lang w:val="en-GB"/>
              </w:rPr>
            </w:pPr>
            <w:r w:rsidRPr="00F23DC3">
              <w:rPr>
                <w:lang w:val="en-GB"/>
              </w:rPr>
              <w:t>Status of actions</w:t>
            </w:r>
          </w:p>
        </w:tc>
      </w:tr>
      <w:tr w:rsidR="00CC1DB7" w:rsidRPr="00E95903" w:rsidTr="006A0F52">
        <w:tc>
          <w:tcPr>
            <w:tcW w:w="3680" w:type="dxa"/>
          </w:tcPr>
          <w:p w:rsidR="00CC1DB7" w:rsidRPr="00F23DC3" w:rsidRDefault="00CC1DB7" w:rsidP="006A0F52">
            <w:pPr>
              <w:rPr>
                <w:lang w:val="en-GB"/>
              </w:rPr>
            </w:pPr>
            <w:r w:rsidRPr="00F23DC3">
              <w:rPr>
                <w:lang w:val="en-GB"/>
              </w:rPr>
              <w:t>ELN</w:t>
            </w:r>
          </w:p>
        </w:tc>
        <w:tc>
          <w:tcPr>
            <w:tcW w:w="3681" w:type="dxa"/>
          </w:tcPr>
          <w:p w:rsidR="00CC1DB7" w:rsidRPr="00F23DC3" w:rsidRDefault="00CC1DB7" w:rsidP="006A0F52">
            <w:pPr>
              <w:rPr>
                <w:highlight w:val="yellow"/>
                <w:lang w:val="en-GB"/>
              </w:rPr>
            </w:pPr>
            <w:r w:rsidRPr="00F23DC3">
              <w:rPr>
                <w:lang w:val="en-GB"/>
              </w:rPr>
              <w:t xml:space="preserve">The projects will be completed in 2019, and an evaluation report with results of value to </w:t>
            </w:r>
            <w:r w:rsidR="00B8035C">
              <w:rPr>
                <w:lang w:val="en-GB"/>
              </w:rPr>
              <w:t>CPH City &amp; Port Development</w:t>
            </w:r>
            <w:r w:rsidRPr="00F23DC3">
              <w:rPr>
                <w:lang w:val="en-GB"/>
              </w:rPr>
              <w:t xml:space="preserve"> will be presented.</w:t>
            </w:r>
            <w:r w:rsidRPr="00F23DC3">
              <w:rPr>
                <w:highlight w:val="yellow"/>
                <w:lang w:val="en-GB"/>
              </w:rPr>
              <w:t xml:space="preserve"> </w:t>
            </w:r>
          </w:p>
        </w:tc>
      </w:tr>
      <w:tr w:rsidR="00CC1DB7" w:rsidRPr="00E95903" w:rsidTr="006A0F52">
        <w:tc>
          <w:tcPr>
            <w:tcW w:w="3680" w:type="dxa"/>
          </w:tcPr>
          <w:p w:rsidR="00CC1DB7" w:rsidRPr="00F23DC3" w:rsidRDefault="00CC1DB7" w:rsidP="006A0F52">
            <w:pPr>
              <w:rPr>
                <w:lang w:val="en-GB"/>
              </w:rPr>
            </w:pPr>
            <w:r w:rsidRPr="00F23DC3">
              <w:rPr>
                <w:lang w:val="en-GB"/>
              </w:rPr>
              <w:t>Horizon 2020</w:t>
            </w:r>
          </w:p>
        </w:tc>
        <w:tc>
          <w:tcPr>
            <w:tcW w:w="3681" w:type="dxa"/>
          </w:tcPr>
          <w:p w:rsidR="00CC1DB7" w:rsidRPr="00F23DC3" w:rsidRDefault="00CC1DB7" w:rsidP="006A0F52">
            <w:pPr>
              <w:rPr>
                <w:highlight w:val="yellow"/>
                <w:lang w:val="en-GB"/>
              </w:rPr>
            </w:pPr>
            <w:r w:rsidRPr="00F23DC3">
              <w:rPr>
                <w:lang w:val="en-GB"/>
              </w:rPr>
              <w:t xml:space="preserve">To be launched in 2019 and completed at the end of 2022. </w:t>
            </w:r>
          </w:p>
        </w:tc>
      </w:tr>
      <w:tr w:rsidR="00CC1DB7" w:rsidRPr="00E95903" w:rsidTr="006A0F52">
        <w:tc>
          <w:tcPr>
            <w:tcW w:w="3680" w:type="dxa"/>
          </w:tcPr>
          <w:p w:rsidR="00CC1DB7" w:rsidRPr="00F23DC3" w:rsidRDefault="00CC1DB7" w:rsidP="006A0F52">
            <w:pPr>
              <w:rPr>
                <w:lang w:val="en-GB"/>
              </w:rPr>
            </w:pPr>
            <w:r w:rsidRPr="00F23DC3">
              <w:rPr>
                <w:lang w:val="en-GB"/>
              </w:rPr>
              <w:t>SIMS</w:t>
            </w:r>
          </w:p>
        </w:tc>
        <w:tc>
          <w:tcPr>
            <w:tcW w:w="3681" w:type="dxa"/>
          </w:tcPr>
          <w:p w:rsidR="00CC1DB7" w:rsidRPr="00F23DC3" w:rsidRDefault="00CC1DB7" w:rsidP="006A0F52">
            <w:pPr>
              <w:rPr>
                <w:highlight w:val="yellow"/>
                <w:lang w:val="en-GB"/>
              </w:rPr>
            </w:pPr>
            <w:r w:rsidRPr="00F23DC3">
              <w:rPr>
                <w:lang w:val="en-GB"/>
              </w:rPr>
              <w:t>To be launched in 2019 and completed at the end of 2022.</w:t>
            </w:r>
          </w:p>
        </w:tc>
      </w:tr>
      <w:tr w:rsidR="00CC1DB7" w:rsidRPr="00E95903" w:rsidTr="006A0F52">
        <w:tc>
          <w:tcPr>
            <w:tcW w:w="3680" w:type="dxa"/>
          </w:tcPr>
          <w:p w:rsidR="00CC1DB7" w:rsidRPr="00F23DC3" w:rsidRDefault="00CC1DB7" w:rsidP="006A0F52">
            <w:pPr>
              <w:rPr>
                <w:lang w:val="en-GB"/>
              </w:rPr>
            </w:pPr>
            <w:r w:rsidRPr="00F23DC3">
              <w:rPr>
                <w:lang w:val="en-GB"/>
              </w:rPr>
              <w:lastRenderedPageBreak/>
              <w:t>Naturpark Amager</w:t>
            </w:r>
          </w:p>
        </w:tc>
        <w:tc>
          <w:tcPr>
            <w:tcW w:w="3681" w:type="dxa"/>
          </w:tcPr>
          <w:p w:rsidR="00CC1DB7" w:rsidRPr="00F23DC3" w:rsidRDefault="00CC1DB7" w:rsidP="006A0F52">
            <w:pPr>
              <w:rPr>
                <w:highlight w:val="yellow"/>
                <w:lang w:val="en-GB"/>
              </w:rPr>
            </w:pPr>
            <w:r w:rsidRPr="00F23DC3">
              <w:rPr>
                <w:lang w:val="en-GB"/>
              </w:rPr>
              <w:t>The winner of the architect competition was published in January 2019. Qualification of the winning project is in progress with a view to the regulatory process in 2020.</w:t>
            </w:r>
          </w:p>
        </w:tc>
      </w:tr>
      <w:tr w:rsidR="00CC1DB7" w:rsidRPr="00E95903" w:rsidTr="006A0F52">
        <w:tc>
          <w:tcPr>
            <w:tcW w:w="3680" w:type="dxa"/>
          </w:tcPr>
          <w:p w:rsidR="00CC1DB7" w:rsidRPr="00F23DC3" w:rsidRDefault="00CC1DB7" w:rsidP="006A0F52">
            <w:pPr>
              <w:rPr>
                <w:lang w:val="en-GB"/>
              </w:rPr>
            </w:pPr>
            <w:r w:rsidRPr="00F23DC3">
              <w:rPr>
                <w:lang w:val="en-GB"/>
              </w:rPr>
              <w:t>Green solutions at the harbour</w:t>
            </w:r>
          </w:p>
          <w:p w:rsidR="00CC1DB7" w:rsidRPr="00F23DC3" w:rsidRDefault="00CC1DB7" w:rsidP="006A0F52">
            <w:pPr>
              <w:pStyle w:val="Listeafsnit"/>
              <w:rPr>
                <w:lang w:val="en-GB"/>
              </w:rPr>
            </w:pPr>
          </w:p>
        </w:tc>
        <w:tc>
          <w:tcPr>
            <w:tcW w:w="3681" w:type="dxa"/>
          </w:tcPr>
          <w:p w:rsidR="00CC1DB7" w:rsidRPr="00F23DC3" w:rsidRDefault="00CC1DB7" w:rsidP="006A0F52">
            <w:pPr>
              <w:rPr>
                <w:lang w:val="en-GB"/>
              </w:rPr>
            </w:pPr>
            <w:r w:rsidRPr="00F23DC3">
              <w:rPr>
                <w:lang w:val="en-GB"/>
              </w:rPr>
              <w:t xml:space="preserve">Participation in a working group to plan the land-based power system for Oceankaj. </w:t>
            </w:r>
          </w:p>
          <w:p w:rsidR="00CC1DB7" w:rsidRPr="00F23DC3" w:rsidRDefault="00CC1DB7" w:rsidP="006A0F52">
            <w:pPr>
              <w:rPr>
                <w:lang w:val="en-GB"/>
              </w:rPr>
            </w:pPr>
            <w:r w:rsidRPr="00F23DC3">
              <w:rPr>
                <w:lang w:val="en-GB"/>
              </w:rPr>
              <w:t>Proposal for a model for a land-based power system at Langelinie.</w:t>
            </w:r>
          </w:p>
          <w:p w:rsidR="00CC1DB7" w:rsidRPr="00F23DC3" w:rsidRDefault="00CC1DB7" w:rsidP="006A0F52">
            <w:pPr>
              <w:rPr>
                <w:lang w:val="en-GB"/>
              </w:rPr>
            </w:pPr>
            <w:r w:rsidRPr="00F23DC3">
              <w:rPr>
                <w:lang w:val="en-GB"/>
              </w:rPr>
              <w:t>Plan for the reduction of the emissions from canal tour boats.</w:t>
            </w:r>
          </w:p>
          <w:p w:rsidR="00CC1DB7" w:rsidRPr="00F23DC3" w:rsidRDefault="00CC1DB7" w:rsidP="006A0F52">
            <w:pPr>
              <w:rPr>
                <w:highlight w:val="yellow"/>
                <w:lang w:val="en-GB"/>
              </w:rPr>
            </w:pPr>
          </w:p>
        </w:tc>
      </w:tr>
    </w:tbl>
    <w:p w:rsidR="00CC1DB7" w:rsidRPr="00F23DC3" w:rsidRDefault="00CC1DB7" w:rsidP="00CC1DB7">
      <w:pPr>
        <w:pStyle w:val="Listeafsnit"/>
        <w:spacing w:after="0" w:line="240" w:lineRule="auto"/>
        <w:ind w:left="567"/>
        <w:rPr>
          <w:rFonts w:cs="Arial"/>
          <w:lang w:val="en-GB"/>
        </w:rPr>
      </w:pPr>
    </w:p>
    <w:p w:rsidR="00CC1DB7" w:rsidRPr="00F23DC3" w:rsidRDefault="00CC1DB7" w:rsidP="00CC1DB7">
      <w:pPr>
        <w:pStyle w:val="Listeafsnit"/>
        <w:spacing w:after="0" w:line="240" w:lineRule="auto"/>
        <w:ind w:left="567"/>
        <w:rPr>
          <w:rFonts w:cs="Arial"/>
          <w:lang w:val="en-GB"/>
        </w:rPr>
      </w:pPr>
    </w:p>
    <w:p w:rsidR="00CC1DB7" w:rsidRPr="00F23DC3" w:rsidRDefault="00CC1DB7" w:rsidP="00CC1DB7">
      <w:pPr>
        <w:pStyle w:val="Listeafsnit"/>
        <w:spacing w:after="0" w:line="240" w:lineRule="auto"/>
        <w:ind w:left="567"/>
        <w:rPr>
          <w:rFonts w:cs="Arial"/>
          <w:lang w:val="en-GB"/>
        </w:rPr>
      </w:pPr>
    </w:p>
    <w:p w:rsidR="00CC1DB7" w:rsidRPr="00F23DC3" w:rsidRDefault="00CC1DB7" w:rsidP="00CC1DB7">
      <w:pPr>
        <w:pStyle w:val="Overskrift3"/>
        <w:rPr>
          <w:lang w:val="en-GB"/>
        </w:rPr>
      </w:pPr>
      <w:bookmarkStart w:id="30" w:name="_Toc380587093"/>
      <w:bookmarkStart w:id="31" w:name="_Toc380587576"/>
      <w:bookmarkStart w:id="32" w:name="_Toc381103223"/>
      <w:r w:rsidRPr="00F23DC3">
        <w:rPr>
          <w:lang w:val="en-GB"/>
        </w:rPr>
        <w:t>Buildings</w:t>
      </w:r>
    </w:p>
    <w:p w:rsidR="00CC1DB7" w:rsidRPr="00F23DC3" w:rsidRDefault="00B8035C" w:rsidP="00CC1DB7">
      <w:pPr>
        <w:rPr>
          <w:rFonts w:cs="Arial"/>
          <w:lang w:val="en-GB"/>
        </w:rPr>
      </w:pPr>
      <w:r>
        <w:rPr>
          <w:rFonts w:cs="Arial"/>
          <w:lang w:val="en-GB"/>
        </w:rPr>
        <w:t>CPH City &amp; Port Development</w:t>
      </w:r>
      <w:r w:rsidR="00CC1DB7" w:rsidRPr="00F23DC3">
        <w:rPr>
          <w:rFonts w:cs="Arial"/>
          <w:lang w:val="en-GB"/>
        </w:rPr>
        <w:t xml:space="preserve"> has 250,000 sq.m. of buildings let out for commercial use and utilised by the company. </w:t>
      </w:r>
      <w:r>
        <w:rPr>
          <w:rFonts w:cs="Arial"/>
          <w:lang w:val="en-GB"/>
        </w:rPr>
        <w:t>CPH City &amp; Port Development</w:t>
      </w:r>
      <w:r w:rsidR="00CC1DB7" w:rsidRPr="00F23DC3">
        <w:rPr>
          <w:rFonts w:cs="Arial"/>
          <w:lang w:val="en-GB"/>
        </w:rPr>
        <w:t xml:space="preserve"> works continuously to implement energy efficiency measures in rental properties in order to influence its tenants to adopt a more sustainable development. </w:t>
      </w:r>
      <w:r>
        <w:rPr>
          <w:rFonts w:cs="Arial"/>
          <w:lang w:val="en-GB"/>
        </w:rPr>
        <w:t>CPH City &amp; Port Development</w:t>
      </w:r>
      <w:r w:rsidR="00CC1DB7" w:rsidRPr="00F23DC3">
        <w:rPr>
          <w:rFonts w:cs="Arial"/>
          <w:lang w:val="en-GB"/>
        </w:rPr>
        <w:t xml:space="preserve">'s own buildings are being prepared for energy efficiency measures in collaboration with the company's tenants. When renovating buildings, </w:t>
      </w:r>
      <w:r>
        <w:rPr>
          <w:rFonts w:cs="Arial"/>
          <w:lang w:val="en-GB"/>
        </w:rPr>
        <w:t>CPH City &amp; Port Development</w:t>
      </w:r>
      <w:r w:rsidR="00CC1DB7" w:rsidRPr="00F23DC3">
        <w:rPr>
          <w:rFonts w:cs="Arial"/>
          <w:lang w:val="en-GB"/>
        </w:rPr>
        <w:t xml:space="preserve"> observes the Danish BR18 and the coming BR20 building regulations.</w:t>
      </w:r>
    </w:p>
    <w:p w:rsidR="00CC1DB7" w:rsidRPr="00F23DC3" w:rsidRDefault="00CC1DB7" w:rsidP="00CC1DB7">
      <w:pPr>
        <w:rPr>
          <w:rFonts w:cs="Arial"/>
          <w:lang w:val="en-GB"/>
        </w:rPr>
      </w:pPr>
    </w:p>
    <w:p w:rsidR="00CC1DB7" w:rsidRPr="00F23DC3" w:rsidRDefault="00CC1DB7" w:rsidP="00CC1DB7">
      <w:pPr>
        <w:rPr>
          <w:rFonts w:cs="Arial"/>
          <w:lang w:val="en-GB"/>
        </w:rPr>
      </w:pPr>
      <w:r w:rsidRPr="00F23DC3">
        <w:rPr>
          <w:rFonts w:cs="Arial"/>
          <w:lang w:val="en-GB"/>
        </w:rPr>
        <w:t xml:space="preserve">Together with the City of Copenhagen, </w:t>
      </w:r>
      <w:r w:rsidR="00B8035C">
        <w:rPr>
          <w:rFonts w:cs="Arial"/>
          <w:lang w:val="en-GB"/>
        </w:rPr>
        <w:t>CPH City &amp; Port Development</w:t>
      </w:r>
      <w:r w:rsidRPr="00F23DC3">
        <w:rPr>
          <w:rFonts w:cs="Arial"/>
          <w:lang w:val="en-GB"/>
        </w:rPr>
        <w:t xml:space="preserve"> participates in the Energispring partnership which commenced in 2016. Its purpose is to promote energy savings in properties in Copenhagen. The company enrolled seven rental buildings in 2017, including four warehouses at Sundmolen and three administration buildings at Tulipangrunden. All the projects have focused on optimising district heating stations. In 2018, two additional buildings in the Århusgade district were enrolled. Historically, it has not been possible to read the consumption of electricity, heating and water in the buildings but with Energispring it will gradually be possible to read electricity and heating in the buildings. Water meters will also be installed in old tenancies.</w:t>
      </w:r>
    </w:p>
    <w:p w:rsidR="00CC1DB7" w:rsidRPr="00F23DC3" w:rsidRDefault="00CC1DB7" w:rsidP="00CC1DB7">
      <w:pPr>
        <w:rPr>
          <w:lang w:val="en-GB"/>
        </w:rPr>
      </w:pPr>
    </w:p>
    <w:p w:rsidR="00CC1DB7" w:rsidRPr="00F23DC3" w:rsidRDefault="00CC1DB7" w:rsidP="00CC1DB7">
      <w:pPr>
        <w:rPr>
          <w:rFonts w:cs="Arial"/>
          <w:lang w:val="en-GB"/>
        </w:rPr>
      </w:pPr>
      <w:r w:rsidRPr="00F23DC3">
        <w:rPr>
          <w:lang w:val="en-GB"/>
        </w:rPr>
        <w:t xml:space="preserve">For several years, </w:t>
      </w:r>
      <w:r w:rsidR="00B8035C">
        <w:rPr>
          <w:lang w:val="en-GB"/>
        </w:rPr>
        <w:t>CPH City &amp; Port Development</w:t>
      </w:r>
      <w:r w:rsidRPr="00F23DC3">
        <w:rPr>
          <w:lang w:val="en-GB"/>
        </w:rPr>
        <w:t xml:space="preserve"> has worked on implementing energy efficiency measures the old main building on Nordre Toldbod 7. The 150-year-old building is listed and the energy renovation has had to allow for aesthetic considerations. The renovation of windows was completed in 2018, and reinsulation of the </w:t>
      </w:r>
      <w:r w:rsidR="00D52F52">
        <w:rPr>
          <w:lang w:val="en-GB"/>
        </w:rPr>
        <w:t xml:space="preserve">roof is planned for 2019/2020. </w:t>
      </w:r>
      <w:r w:rsidRPr="00F23DC3">
        <w:rPr>
          <w:lang w:val="en-GB"/>
        </w:rPr>
        <w:t xml:space="preserve">The heating account statement of Nordre Toldbod shows reduced heating consumption. </w:t>
      </w:r>
    </w:p>
    <w:p w:rsidR="00CC1DB7" w:rsidRPr="00F23DC3" w:rsidRDefault="00CC1DB7" w:rsidP="00CC1DB7">
      <w:pPr>
        <w:rPr>
          <w:rFonts w:cs="Arial"/>
          <w:lang w:val="en-GB"/>
        </w:rPr>
      </w:pPr>
    </w:p>
    <w:p w:rsidR="00CC1DB7" w:rsidRPr="00F23DC3" w:rsidRDefault="00CC1DB7" w:rsidP="00CC1DB7">
      <w:pPr>
        <w:rPr>
          <w:rFonts w:cs="Arial"/>
          <w:lang w:val="en-GB"/>
        </w:rPr>
      </w:pPr>
    </w:p>
    <w:p w:rsidR="00CC1DB7" w:rsidRPr="00F23DC3" w:rsidRDefault="00CC1DB7" w:rsidP="00CC1DB7">
      <w:pPr>
        <w:rPr>
          <w:rFonts w:cs="Arial"/>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23DC3" w:rsidTr="006A0F52">
        <w:tc>
          <w:tcPr>
            <w:tcW w:w="3794" w:type="dxa"/>
            <w:shd w:val="clear" w:color="auto" w:fill="EEECE1" w:themeFill="background2"/>
          </w:tcPr>
          <w:p w:rsidR="00CC1DB7" w:rsidRPr="00F23DC3" w:rsidRDefault="00CC1DB7" w:rsidP="006A0F52">
            <w:pPr>
              <w:rPr>
                <w:rFonts w:cs="Arial"/>
                <w:b/>
                <w:lang w:val="en-GB"/>
              </w:rPr>
            </w:pPr>
            <w:r w:rsidRPr="00F23DC3">
              <w:rPr>
                <w:rFonts w:cs="Arial"/>
                <w:lang w:val="en-GB"/>
              </w:rPr>
              <w:t>Goals for 2018</w:t>
            </w:r>
          </w:p>
        </w:tc>
        <w:tc>
          <w:tcPr>
            <w:tcW w:w="3685" w:type="dxa"/>
            <w:shd w:val="clear" w:color="auto" w:fill="F2F2F2" w:themeFill="background1" w:themeFillShade="F2"/>
          </w:tcPr>
          <w:p w:rsidR="00CC1DB7" w:rsidRPr="00F23DC3" w:rsidRDefault="00CC1DB7" w:rsidP="006A0F52">
            <w:pPr>
              <w:rPr>
                <w:rFonts w:cs="Arial"/>
                <w:szCs w:val="20"/>
                <w:lang w:val="en-GB"/>
              </w:rPr>
            </w:pPr>
            <w:r w:rsidRPr="00F23DC3">
              <w:rPr>
                <w:rFonts w:cs="Arial"/>
                <w:lang w:val="en-GB"/>
              </w:rPr>
              <w:t>Status of actions</w:t>
            </w:r>
          </w:p>
        </w:tc>
      </w:tr>
      <w:tr w:rsidR="00CC1DB7" w:rsidRPr="00F23DC3" w:rsidTr="006A0F52">
        <w:tc>
          <w:tcPr>
            <w:tcW w:w="3794" w:type="dxa"/>
          </w:tcPr>
          <w:p w:rsidR="00CC1DB7" w:rsidRPr="00F23DC3" w:rsidRDefault="00CC1DB7" w:rsidP="006A0F52">
            <w:pPr>
              <w:rPr>
                <w:rFonts w:cs="Arial"/>
                <w:lang w:val="en-GB"/>
              </w:rPr>
            </w:pPr>
            <w:r w:rsidRPr="00F23DC3">
              <w:rPr>
                <w:rFonts w:cs="Arial"/>
                <w:lang w:val="en-GB"/>
              </w:rPr>
              <w:t xml:space="preserve">To establish the homeowners' association secretariat at Nordhavn to ensure local anchoring and ownership when </w:t>
            </w:r>
            <w:r w:rsidR="00B8035C">
              <w:rPr>
                <w:rFonts w:cs="Arial"/>
                <w:lang w:val="en-GB"/>
              </w:rPr>
              <w:t>CPH City &amp; Port Development</w:t>
            </w:r>
            <w:r w:rsidRPr="00F23DC3">
              <w:rPr>
                <w:rFonts w:cs="Arial"/>
                <w:lang w:val="en-GB"/>
              </w:rPr>
              <w:t xml:space="preserve"> transfers the area to the homeowners' associations.</w:t>
            </w:r>
          </w:p>
        </w:tc>
        <w:tc>
          <w:tcPr>
            <w:tcW w:w="3685" w:type="dxa"/>
          </w:tcPr>
          <w:p w:rsidR="00CC1DB7" w:rsidRPr="00F23DC3" w:rsidRDefault="00CC1DB7" w:rsidP="006A0F52">
            <w:pPr>
              <w:rPr>
                <w:rFonts w:cs="Arial"/>
                <w:szCs w:val="20"/>
                <w:lang w:val="en-GB"/>
              </w:rPr>
            </w:pPr>
            <w:r w:rsidRPr="00F23DC3">
              <w:rPr>
                <w:rFonts w:cs="Arial"/>
                <w:szCs w:val="20"/>
                <w:lang w:val="en-GB"/>
              </w:rPr>
              <w:t>Achieved</w:t>
            </w:r>
          </w:p>
        </w:tc>
      </w:tr>
      <w:tr w:rsidR="00CC1DB7" w:rsidRPr="00F23DC3" w:rsidTr="006A0F52">
        <w:tc>
          <w:tcPr>
            <w:tcW w:w="3794" w:type="dxa"/>
          </w:tcPr>
          <w:p w:rsidR="00CC1DB7" w:rsidRPr="00F23DC3" w:rsidRDefault="00CC1DB7" w:rsidP="006A0F52">
            <w:pPr>
              <w:rPr>
                <w:rFonts w:cs="Arial"/>
                <w:lang w:val="en-GB"/>
              </w:rPr>
            </w:pPr>
            <w:r w:rsidRPr="00F23DC3">
              <w:rPr>
                <w:rFonts w:cs="Arial"/>
                <w:lang w:val="en-GB"/>
              </w:rPr>
              <w:t>To continue as an active participant in Energispring with two more enrolled buildings and continued focus on optimising energy and water consumption.</w:t>
            </w:r>
          </w:p>
        </w:tc>
        <w:tc>
          <w:tcPr>
            <w:tcW w:w="3685" w:type="dxa"/>
          </w:tcPr>
          <w:p w:rsidR="00CC1DB7" w:rsidRPr="00F23DC3" w:rsidRDefault="00CC1DB7" w:rsidP="006A0F52">
            <w:pPr>
              <w:rPr>
                <w:rFonts w:cs="Arial"/>
                <w:szCs w:val="20"/>
                <w:lang w:val="en-GB"/>
              </w:rPr>
            </w:pPr>
            <w:r w:rsidRPr="00F23DC3">
              <w:rPr>
                <w:rFonts w:cs="Arial"/>
                <w:szCs w:val="20"/>
                <w:lang w:val="en-GB"/>
              </w:rPr>
              <w:t>Achieved</w:t>
            </w:r>
          </w:p>
        </w:tc>
      </w:tr>
    </w:tbl>
    <w:p w:rsidR="00CC1DB7" w:rsidRPr="00F23DC3" w:rsidRDefault="00CC1DB7" w:rsidP="00CC1DB7">
      <w:pPr>
        <w:rPr>
          <w:rFonts w:cs="Arial"/>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23DC3" w:rsidTr="006A0F52">
        <w:tc>
          <w:tcPr>
            <w:tcW w:w="3794" w:type="dxa"/>
            <w:shd w:val="clear" w:color="auto" w:fill="F2F2F2" w:themeFill="background1" w:themeFillShade="F2"/>
          </w:tcPr>
          <w:p w:rsidR="00CC1DB7" w:rsidRPr="00F23DC3" w:rsidRDefault="00CC1DB7" w:rsidP="006A0F52">
            <w:pPr>
              <w:rPr>
                <w:rFonts w:cs="Arial"/>
                <w:b/>
                <w:lang w:val="en-GB"/>
              </w:rPr>
            </w:pPr>
            <w:r w:rsidRPr="00F23DC3">
              <w:rPr>
                <w:rFonts w:cs="Arial"/>
                <w:lang w:val="en-GB"/>
              </w:rPr>
              <w:t>Goals for 2019</w:t>
            </w:r>
          </w:p>
        </w:tc>
        <w:tc>
          <w:tcPr>
            <w:tcW w:w="3685" w:type="dxa"/>
            <w:shd w:val="clear" w:color="auto" w:fill="F2F2F2" w:themeFill="background1" w:themeFillShade="F2"/>
          </w:tcPr>
          <w:p w:rsidR="00CC1DB7" w:rsidRPr="00F23DC3" w:rsidRDefault="00CC1DB7" w:rsidP="006A0F52">
            <w:pPr>
              <w:rPr>
                <w:rFonts w:cs="Arial"/>
                <w:szCs w:val="20"/>
                <w:lang w:val="en-GB"/>
              </w:rPr>
            </w:pPr>
            <w:r w:rsidRPr="00F23DC3">
              <w:rPr>
                <w:rFonts w:cs="Arial"/>
                <w:lang w:val="en-GB"/>
              </w:rPr>
              <w:t>Status of actions</w:t>
            </w:r>
          </w:p>
        </w:tc>
      </w:tr>
      <w:tr w:rsidR="00CC1DB7" w:rsidRPr="00F23DC3" w:rsidTr="006A0F52">
        <w:tc>
          <w:tcPr>
            <w:tcW w:w="3794" w:type="dxa"/>
          </w:tcPr>
          <w:p w:rsidR="00CC1DB7" w:rsidRPr="00F23DC3" w:rsidRDefault="00CC1DB7" w:rsidP="006A0F52">
            <w:pPr>
              <w:rPr>
                <w:rFonts w:cs="Arial"/>
                <w:lang w:val="en-GB"/>
              </w:rPr>
            </w:pPr>
            <w:r w:rsidRPr="00F23DC3">
              <w:rPr>
                <w:lang w:val="en-GB"/>
              </w:rPr>
              <w:t>Reinsulation of the roof at Nordre Toldbod with a view to implementing energy efficiency measures</w:t>
            </w:r>
          </w:p>
        </w:tc>
        <w:tc>
          <w:tcPr>
            <w:tcW w:w="3685" w:type="dxa"/>
          </w:tcPr>
          <w:p w:rsidR="00CC1DB7" w:rsidRPr="00F23DC3" w:rsidRDefault="00CC1DB7" w:rsidP="006A0F52">
            <w:pPr>
              <w:rPr>
                <w:rFonts w:cs="Arial"/>
                <w:szCs w:val="20"/>
                <w:lang w:val="en-GB"/>
              </w:rPr>
            </w:pPr>
            <w:r w:rsidRPr="00F23DC3">
              <w:rPr>
                <w:rFonts w:cs="Arial"/>
                <w:szCs w:val="20"/>
                <w:lang w:val="en-GB"/>
              </w:rPr>
              <w:t>To be implemented in 2019/2020.</w:t>
            </w:r>
          </w:p>
        </w:tc>
      </w:tr>
    </w:tbl>
    <w:p w:rsidR="00CC1DB7" w:rsidRPr="00F23DC3" w:rsidRDefault="00CC1DB7" w:rsidP="00CC1DB7">
      <w:pPr>
        <w:rPr>
          <w:rFonts w:cs="Arial"/>
          <w:lang w:val="en-GB"/>
        </w:rPr>
      </w:pPr>
    </w:p>
    <w:p w:rsidR="00CC1DB7" w:rsidRPr="00F23DC3" w:rsidRDefault="00CC1DB7" w:rsidP="00CC1DB7">
      <w:pPr>
        <w:rPr>
          <w:rFonts w:cs="Arial"/>
          <w:lang w:val="en-GB"/>
        </w:rPr>
      </w:pPr>
    </w:p>
    <w:p w:rsidR="00CC1DB7" w:rsidRPr="00F23DC3" w:rsidRDefault="00CC1DB7" w:rsidP="00CC1DB7">
      <w:pPr>
        <w:pStyle w:val="Overskrift3"/>
        <w:rPr>
          <w:lang w:val="en-GB"/>
        </w:rPr>
      </w:pPr>
      <w:r w:rsidRPr="00F23DC3">
        <w:rPr>
          <w:lang w:val="en-GB"/>
        </w:rPr>
        <w:t>Multi-storey car parks</w:t>
      </w:r>
    </w:p>
    <w:p w:rsidR="00CC1DB7" w:rsidRPr="00F23DC3" w:rsidRDefault="00CC1DB7" w:rsidP="00CC1DB7">
      <w:pPr>
        <w:rPr>
          <w:rFonts w:cs="Arial"/>
          <w:lang w:val="en-GB"/>
        </w:rPr>
      </w:pPr>
      <w:r w:rsidRPr="00F23DC3">
        <w:rPr>
          <w:rFonts w:cs="Arial"/>
          <w:lang w:val="en-GB"/>
        </w:rPr>
        <w:t xml:space="preserve">In </w:t>
      </w:r>
      <w:r w:rsidR="00B8035C">
        <w:rPr>
          <w:rFonts w:cs="Arial"/>
          <w:lang w:val="en-GB"/>
        </w:rPr>
        <w:t>CPH City &amp; Port Development</w:t>
      </w:r>
      <w:r w:rsidRPr="00F23DC3">
        <w:rPr>
          <w:rFonts w:cs="Arial"/>
          <w:lang w:val="en-GB"/>
        </w:rPr>
        <w:t>'s city areas at Nordhavn and Ørestad, common extensive car parks will be established. Overall, this will make better use of the parking facilities in the area. The car parks have been designed to reduce energy consumption at several levels. Most multi-storey car parks have been designed with central ramps which optimise driving in the car park. A power-saving lighting concept has also been used consisting of 100% LED lamps of which 2/3 switch off automatically to have everlighting light only in the core of the building. Power savings are also achieved by having 50 per cent of the car park facades open which means that the use of artificial ventilation in the car parks can be reduced.</w:t>
      </w:r>
    </w:p>
    <w:p w:rsidR="00CC1DB7" w:rsidRPr="00F23DC3" w:rsidRDefault="00CC1DB7" w:rsidP="00CC1DB7">
      <w:pPr>
        <w:rPr>
          <w:rFonts w:cs="Arial"/>
          <w:lang w:val="en-GB"/>
        </w:rPr>
      </w:pPr>
    </w:p>
    <w:p w:rsidR="00CC1DB7" w:rsidRPr="00F23DC3" w:rsidRDefault="00CC1DB7" w:rsidP="00CC1DB7">
      <w:pPr>
        <w:pStyle w:val="Overskrift3"/>
        <w:rPr>
          <w:lang w:val="en-GB"/>
        </w:rPr>
      </w:pPr>
      <w:r w:rsidRPr="00F23DC3">
        <w:rPr>
          <w:lang w:val="en-GB"/>
        </w:rPr>
        <w:t>Environmental requirements for suppliers</w:t>
      </w:r>
    </w:p>
    <w:p w:rsidR="00CC1DB7" w:rsidRPr="00F23DC3" w:rsidRDefault="00B8035C" w:rsidP="00CC1DB7">
      <w:pPr>
        <w:rPr>
          <w:rFonts w:cs="Arial"/>
          <w:lang w:val="en-GB"/>
        </w:rPr>
      </w:pPr>
      <w:r>
        <w:rPr>
          <w:rFonts w:cs="Arial"/>
          <w:lang w:val="en-GB"/>
        </w:rPr>
        <w:t>CPH City &amp; Port Development</w:t>
      </w:r>
      <w:r w:rsidR="00CC1DB7" w:rsidRPr="00F23DC3">
        <w:rPr>
          <w:rFonts w:cs="Arial"/>
          <w:lang w:val="en-GB"/>
        </w:rPr>
        <w:t xml:space="preserve"> makes demands on the company's suppliers. The company's current expectations of suppliers regarding environment and climate are described in the guidelines "Suppliers' societal responsibility/Code of Conduct".</w:t>
      </w:r>
    </w:p>
    <w:p w:rsidR="00CC1DB7" w:rsidRPr="00F23DC3" w:rsidRDefault="00CC1DB7" w:rsidP="00CC1DB7">
      <w:pPr>
        <w:rPr>
          <w:rFonts w:cs="Arial"/>
          <w:lang w:val="en-GB"/>
        </w:rPr>
      </w:pPr>
      <w:r w:rsidRPr="00F23DC3">
        <w:rPr>
          <w:rFonts w:cs="Arial"/>
          <w:lang w:val="en-GB"/>
        </w:rPr>
        <w:br/>
        <w:t>The company will evaluate its Code of Conduct next year and also assess whether the company must integrate environmental responsibility more actively in its supplier chain in future.</w:t>
      </w:r>
    </w:p>
    <w:p w:rsidR="00CC1DB7" w:rsidRPr="00F23DC3" w:rsidRDefault="00CC1DB7" w:rsidP="00CC1DB7">
      <w:pPr>
        <w:rPr>
          <w:rFonts w:cs="Arial"/>
          <w:lang w:val="en-GB"/>
        </w:rPr>
      </w:pPr>
    </w:p>
    <w:p w:rsidR="00CC1DB7" w:rsidRPr="00F23DC3" w:rsidRDefault="00CC1DB7" w:rsidP="00CC1DB7">
      <w:pPr>
        <w:pStyle w:val="Overskrift3"/>
        <w:rPr>
          <w:lang w:val="en-GB"/>
        </w:rPr>
      </w:pPr>
      <w:r w:rsidRPr="00F23DC3">
        <w:rPr>
          <w:lang w:val="en-GB"/>
        </w:rPr>
        <w:t>Urban life and inclusion</w:t>
      </w:r>
    </w:p>
    <w:p w:rsidR="00CC1DB7" w:rsidRPr="00F23DC3" w:rsidRDefault="00CC1DB7" w:rsidP="00CC1DB7">
      <w:pPr>
        <w:rPr>
          <w:lang w:val="en-GB"/>
        </w:rPr>
      </w:pPr>
    </w:p>
    <w:p w:rsidR="00CC1DB7" w:rsidRPr="00F23DC3" w:rsidRDefault="00B8035C" w:rsidP="00CC1DB7">
      <w:pPr>
        <w:rPr>
          <w:rFonts w:cs="Arial"/>
          <w:lang w:val="en-GB"/>
        </w:rPr>
      </w:pPr>
      <w:r>
        <w:rPr>
          <w:rFonts w:cs="Arial"/>
          <w:lang w:val="en-GB"/>
        </w:rPr>
        <w:t>CPH City &amp; Port Development</w:t>
      </w:r>
      <w:r w:rsidR="00CC1DB7" w:rsidRPr="00F23DC3">
        <w:rPr>
          <w:rFonts w:cs="Arial"/>
          <w:lang w:val="en-GB"/>
        </w:rPr>
        <w:t xml:space="preserve"> develops vibrant and inclusive city districts, among other things by ensuring that the districts have a balanced mix of residences and businesses as well as diverse residential sizes and ownerships. The company also focuses on providing the areas with excellent urban life qualities, including nearby retail shops, access to institutions as well as access to green and blue public open spaces. Finally, </w:t>
      </w:r>
      <w:r>
        <w:rPr>
          <w:rFonts w:cs="Arial"/>
          <w:lang w:val="en-GB"/>
        </w:rPr>
        <w:t>CPH City &amp; Port Development</w:t>
      </w:r>
      <w:r w:rsidR="00CC1DB7" w:rsidRPr="00F23DC3">
        <w:rPr>
          <w:rFonts w:cs="Arial"/>
          <w:lang w:val="en-GB"/>
        </w:rPr>
        <w:t xml:space="preserve"> strives to ensure continued excellent urban life in the company's urban development areas by facilitating the launch of homeowners' associations, sports, culture and association activities, etc. A lack of focus on social sustainability may involve a risk of exclusionary districts which are not considered attractive to work and live in.</w:t>
      </w:r>
    </w:p>
    <w:p w:rsidR="00CC1DB7" w:rsidRPr="00F23DC3" w:rsidRDefault="00CC1DB7" w:rsidP="00CC1DB7">
      <w:pPr>
        <w:rPr>
          <w:rFonts w:cs="Arial"/>
          <w:lang w:val="en-GB"/>
        </w:rPr>
      </w:pPr>
    </w:p>
    <w:p w:rsidR="00CC1DB7" w:rsidRPr="00F23DC3" w:rsidRDefault="00B8035C" w:rsidP="00CC1DB7">
      <w:pPr>
        <w:autoSpaceDE w:val="0"/>
        <w:autoSpaceDN w:val="0"/>
        <w:adjustRightInd w:val="0"/>
        <w:rPr>
          <w:rFonts w:cs="Arial"/>
          <w:lang w:val="en-GB"/>
        </w:rPr>
      </w:pPr>
      <w:r>
        <w:rPr>
          <w:rFonts w:cs="Arial"/>
          <w:lang w:val="en-GB"/>
        </w:rPr>
        <w:t>CPH City &amp; Port Development</w:t>
      </w:r>
      <w:r w:rsidR="00CC1DB7" w:rsidRPr="00F23DC3">
        <w:rPr>
          <w:rFonts w:cs="Arial"/>
          <w:lang w:val="en-GB"/>
        </w:rPr>
        <w:t xml:space="preserve"> also develops Copenhagen harbour. It must be a recreational harbour which is the blue meeting place of the capital, tying the city districts close to the harbour in Copenhagen together. In 2018, </w:t>
      </w:r>
      <w:r>
        <w:rPr>
          <w:rFonts w:cs="Arial"/>
          <w:lang w:val="en-GB"/>
        </w:rPr>
        <w:t>CPH City &amp; Port Development</w:t>
      </w:r>
      <w:r w:rsidR="00CC1DB7" w:rsidRPr="00F23DC3">
        <w:rPr>
          <w:rFonts w:cs="Arial"/>
          <w:lang w:val="en-GB"/>
        </w:rPr>
        <w:t xml:space="preserve"> adopted a harbour strategy and works to make room for more activities in the recreational harbour. It must also provide a safe setting and good harbour culture for the good social activities in and around the harbour. In 2019, several of the focus points of the harbour strategy will be launched. </w:t>
      </w:r>
    </w:p>
    <w:p w:rsidR="00CC1DB7" w:rsidRPr="00F23DC3" w:rsidRDefault="00CC1DB7" w:rsidP="00CC1DB7">
      <w:pPr>
        <w:rPr>
          <w:rFonts w:cs="Arial"/>
          <w:lang w:val="en-GB"/>
        </w:rPr>
      </w:pPr>
    </w:p>
    <w:p w:rsidR="00CC1DB7" w:rsidRPr="00F23DC3" w:rsidRDefault="00B8035C" w:rsidP="00CC1DB7">
      <w:pPr>
        <w:rPr>
          <w:rFonts w:cs="Arial"/>
          <w:lang w:val="en-GB"/>
        </w:rPr>
      </w:pPr>
      <w:r>
        <w:rPr>
          <w:rFonts w:cs="Arial"/>
          <w:lang w:val="en-GB"/>
        </w:rPr>
        <w:t>CPH City &amp; Port Development</w:t>
      </w:r>
      <w:r w:rsidR="00CC1DB7" w:rsidRPr="00F23DC3">
        <w:rPr>
          <w:rFonts w:cs="Arial"/>
          <w:lang w:val="en-GB"/>
        </w:rPr>
        <w:t xml:space="preserve"> enters into various strategic partnerships in order to develop attractive and vibrant urban environments, including:</w:t>
      </w:r>
    </w:p>
    <w:p w:rsidR="00CC1DB7" w:rsidRPr="00F23DC3" w:rsidRDefault="00CC1DB7" w:rsidP="00CC1DB7">
      <w:pPr>
        <w:rPr>
          <w:rFonts w:cs="Arial"/>
          <w:lang w:val="en-GB"/>
        </w:rPr>
      </w:pPr>
    </w:p>
    <w:p w:rsidR="00CC1DB7" w:rsidRPr="00F23DC3" w:rsidRDefault="00CC1DB7" w:rsidP="00CC1DB7">
      <w:pPr>
        <w:pStyle w:val="Listeafsnit"/>
        <w:numPr>
          <w:ilvl w:val="0"/>
          <w:numId w:val="9"/>
        </w:numPr>
        <w:spacing w:after="0" w:line="240" w:lineRule="auto"/>
        <w:ind w:left="567" w:hanging="567"/>
        <w:rPr>
          <w:rFonts w:cs="Arial"/>
          <w:b/>
          <w:i/>
          <w:lang w:val="en-GB"/>
        </w:rPr>
      </w:pPr>
      <w:r w:rsidRPr="00F23DC3">
        <w:rPr>
          <w:rFonts w:cs="Arial"/>
          <w:lang w:val="en-GB"/>
        </w:rPr>
        <w:t xml:space="preserve">Association activities at Nordhavn where </w:t>
      </w:r>
      <w:r w:rsidR="00B8035C">
        <w:rPr>
          <w:rFonts w:cs="Arial"/>
          <w:lang w:val="en-GB"/>
        </w:rPr>
        <w:t>CPH City &amp; Port Development</w:t>
      </w:r>
      <w:r w:rsidRPr="00F23DC3">
        <w:rPr>
          <w:rFonts w:cs="Arial"/>
          <w:lang w:val="en-GB"/>
        </w:rPr>
        <w:t xml:space="preserve"> together with DGI and Idrætsforum København have taken the initiative to establish association activities which are to help launch communities consisting of the users of the city district.</w:t>
      </w:r>
    </w:p>
    <w:p w:rsidR="00CC1DB7" w:rsidRPr="00F23DC3" w:rsidRDefault="00CC1DB7" w:rsidP="00CC1DB7">
      <w:pPr>
        <w:pStyle w:val="Listeafsnit"/>
        <w:rPr>
          <w:rFonts w:cs="Arial"/>
          <w:b/>
          <w:i/>
          <w:lang w:val="en-GB"/>
        </w:rPr>
      </w:pPr>
    </w:p>
    <w:p w:rsidR="00CC1DB7" w:rsidRPr="00F23DC3" w:rsidRDefault="00CC1DB7" w:rsidP="00CC1DB7">
      <w:pPr>
        <w:pStyle w:val="Listeafsnit"/>
        <w:numPr>
          <w:ilvl w:val="0"/>
          <w:numId w:val="9"/>
        </w:numPr>
        <w:spacing w:after="0" w:line="240" w:lineRule="auto"/>
        <w:ind w:left="567" w:hanging="567"/>
        <w:rPr>
          <w:rFonts w:cs="Arial"/>
          <w:b/>
          <w:i/>
          <w:lang w:val="en-GB"/>
        </w:rPr>
      </w:pPr>
      <w:r w:rsidRPr="00F23DC3">
        <w:rPr>
          <w:rFonts w:cs="Arial"/>
          <w:lang w:val="en-GB"/>
        </w:rPr>
        <w:lastRenderedPageBreak/>
        <w:t>The Floating Activity House (Det Flydende Aktivitetshus) at the bathing zone in the Århusgade district which is a project meant to support facilities in and on the water.</w:t>
      </w:r>
    </w:p>
    <w:p w:rsidR="00CC1DB7" w:rsidRPr="00F23DC3" w:rsidRDefault="00CC1DB7" w:rsidP="00CC1DB7">
      <w:pPr>
        <w:pStyle w:val="Listeafsnit"/>
        <w:rPr>
          <w:rFonts w:cs="Arial"/>
          <w:b/>
          <w:i/>
          <w:lang w:val="en-GB"/>
        </w:rPr>
      </w:pPr>
    </w:p>
    <w:p w:rsidR="00CC1DB7" w:rsidRPr="00F23DC3" w:rsidRDefault="00CC1DB7" w:rsidP="00CC1DB7">
      <w:pPr>
        <w:pStyle w:val="Listeafsnit"/>
        <w:numPr>
          <w:ilvl w:val="0"/>
          <w:numId w:val="9"/>
        </w:numPr>
        <w:spacing w:after="0" w:line="240" w:lineRule="auto"/>
        <w:ind w:left="567" w:hanging="567"/>
        <w:rPr>
          <w:rFonts w:cs="Arial"/>
          <w:b/>
          <w:i/>
          <w:lang w:val="en-GB"/>
        </w:rPr>
      </w:pPr>
      <w:r w:rsidRPr="00F23DC3">
        <w:rPr>
          <w:rFonts w:cs="Arial"/>
          <w:lang w:val="en-GB"/>
        </w:rPr>
        <w:t>The City House (Byens Hus), which is a community and culture house at Ørestad Syd, developed in close collaboration with citizens and users and designed for activities and common functions in the city district.</w:t>
      </w:r>
      <w:bookmarkEnd w:id="30"/>
      <w:bookmarkEnd w:id="31"/>
      <w:bookmarkEnd w:id="32"/>
    </w:p>
    <w:p w:rsidR="00CC1DB7" w:rsidRPr="00F23DC3" w:rsidRDefault="00CC1DB7" w:rsidP="00CC1DB7">
      <w:pPr>
        <w:rPr>
          <w:rFonts w:cs="Arial"/>
          <w:b/>
          <w:i/>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23DC3" w:rsidTr="006A0F52">
        <w:tc>
          <w:tcPr>
            <w:tcW w:w="3794" w:type="dxa"/>
            <w:shd w:val="clear" w:color="auto" w:fill="F2F2F2" w:themeFill="background1" w:themeFillShade="F2"/>
          </w:tcPr>
          <w:p w:rsidR="00CC1DB7" w:rsidRPr="00F23DC3" w:rsidRDefault="00CC1DB7" w:rsidP="006A0F52">
            <w:pPr>
              <w:rPr>
                <w:rFonts w:cs="Arial"/>
                <w:b/>
                <w:lang w:val="en-GB"/>
              </w:rPr>
            </w:pPr>
            <w:r w:rsidRPr="00F23DC3">
              <w:rPr>
                <w:rFonts w:cs="Arial"/>
                <w:lang w:val="en-GB"/>
              </w:rPr>
              <w:t>Goals for 2018</w:t>
            </w:r>
          </w:p>
        </w:tc>
        <w:tc>
          <w:tcPr>
            <w:tcW w:w="3685" w:type="dxa"/>
            <w:shd w:val="clear" w:color="auto" w:fill="F2F2F2" w:themeFill="background1" w:themeFillShade="F2"/>
          </w:tcPr>
          <w:p w:rsidR="00CC1DB7" w:rsidRPr="00F23DC3" w:rsidRDefault="00CC1DB7" w:rsidP="006A0F52">
            <w:pPr>
              <w:rPr>
                <w:rFonts w:cs="Arial"/>
                <w:szCs w:val="20"/>
                <w:lang w:val="en-GB"/>
              </w:rPr>
            </w:pPr>
            <w:r w:rsidRPr="00F23DC3">
              <w:rPr>
                <w:rFonts w:cs="Arial"/>
                <w:lang w:val="en-GB"/>
              </w:rPr>
              <w:t>Status of actions</w:t>
            </w:r>
          </w:p>
        </w:tc>
      </w:tr>
      <w:tr w:rsidR="000B7D4C" w:rsidRPr="00F23DC3" w:rsidTr="006A0F52">
        <w:tc>
          <w:tcPr>
            <w:tcW w:w="3794" w:type="dxa"/>
          </w:tcPr>
          <w:p w:rsidR="000B7D4C" w:rsidRPr="00F23DC3" w:rsidRDefault="000B7D4C" w:rsidP="000B7D4C">
            <w:pPr>
              <w:rPr>
                <w:rFonts w:cs="Arial"/>
                <w:lang w:val="en-GB"/>
              </w:rPr>
            </w:pPr>
            <w:r w:rsidRPr="00F23DC3">
              <w:rPr>
                <w:rFonts w:cs="Arial"/>
                <w:lang w:val="en-GB"/>
              </w:rPr>
              <w:t xml:space="preserve">To establish the homeowners' association secretariat at Nordhavn to ensure local anchoring and ownership when </w:t>
            </w:r>
            <w:r>
              <w:rPr>
                <w:rFonts w:cs="Arial"/>
                <w:lang w:val="en-GB"/>
              </w:rPr>
              <w:t>CPH City &amp; Port Development</w:t>
            </w:r>
            <w:r w:rsidRPr="00F23DC3">
              <w:rPr>
                <w:rFonts w:cs="Arial"/>
                <w:lang w:val="en-GB"/>
              </w:rPr>
              <w:t xml:space="preserve"> transfers the area to the homeowners' associations.</w:t>
            </w:r>
          </w:p>
        </w:tc>
        <w:tc>
          <w:tcPr>
            <w:tcW w:w="3685" w:type="dxa"/>
          </w:tcPr>
          <w:p w:rsidR="000B7D4C" w:rsidRPr="00F23DC3" w:rsidRDefault="000B7D4C" w:rsidP="000B7D4C">
            <w:pPr>
              <w:rPr>
                <w:rFonts w:cs="Arial"/>
                <w:szCs w:val="20"/>
                <w:lang w:val="en-GB"/>
              </w:rPr>
            </w:pPr>
            <w:r w:rsidRPr="00F23DC3">
              <w:rPr>
                <w:rFonts w:cs="Arial"/>
                <w:szCs w:val="20"/>
                <w:lang w:val="en-GB"/>
              </w:rPr>
              <w:t>Achieved</w:t>
            </w:r>
          </w:p>
        </w:tc>
      </w:tr>
    </w:tbl>
    <w:p w:rsidR="00CC1DB7" w:rsidRPr="00F23DC3" w:rsidRDefault="00CC1DB7" w:rsidP="00CC1DB7">
      <w:pPr>
        <w:rPr>
          <w:rFonts w:cs="Arial"/>
          <w:lang w:val="en-GB"/>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23DC3" w:rsidTr="006A0F52">
        <w:tc>
          <w:tcPr>
            <w:tcW w:w="3794" w:type="dxa"/>
            <w:shd w:val="clear" w:color="auto" w:fill="F2F2F2" w:themeFill="background1" w:themeFillShade="F2"/>
          </w:tcPr>
          <w:p w:rsidR="00CC1DB7" w:rsidRPr="00F23DC3" w:rsidRDefault="00CC1DB7" w:rsidP="006A0F52">
            <w:pPr>
              <w:rPr>
                <w:rFonts w:cs="Arial"/>
                <w:b/>
                <w:lang w:val="en-GB"/>
              </w:rPr>
            </w:pPr>
            <w:r w:rsidRPr="00F23DC3">
              <w:rPr>
                <w:rFonts w:cs="Arial"/>
                <w:lang w:val="en-GB"/>
              </w:rPr>
              <w:t>Goals for 2019</w:t>
            </w:r>
          </w:p>
        </w:tc>
        <w:tc>
          <w:tcPr>
            <w:tcW w:w="3685" w:type="dxa"/>
            <w:shd w:val="clear" w:color="auto" w:fill="F2F2F2" w:themeFill="background1" w:themeFillShade="F2"/>
          </w:tcPr>
          <w:p w:rsidR="00CC1DB7" w:rsidRPr="00F23DC3" w:rsidRDefault="00CC1DB7" w:rsidP="006A0F52">
            <w:pPr>
              <w:rPr>
                <w:rFonts w:cs="Arial"/>
                <w:szCs w:val="20"/>
                <w:lang w:val="en-GB"/>
              </w:rPr>
            </w:pPr>
            <w:r w:rsidRPr="00F23DC3">
              <w:rPr>
                <w:rFonts w:cs="Arial"/>
                <w:lang w:val="en-GB"/>
              </w:rPr>
              <w:t>Status of actions</w:t>
            </w:r>
          </w:p>
        </w:tc>
      </w:tr>
      <w:tr w:rsidR="00CC1DB7" w:rsidRPr="00E95903" w:rsidTr="006A0F52">
        <w:tc>
          <w:tcPr>
            <w:tcW w:w="3794" w:type="dxa"/>
          </w:tcPr>
          <w:p w:rsidR="00CC1DB7" w:rsidRPr="00F23DC3" w:rsidRDefault="00CC1DB7" w:rsidP="006A0F52">
            <w:pPr>
              <w:rPr>
                <w:rFonts w:cs="Arial"/>
                <w:lang w:val="en-GB"/>
              </w:rPr>
            </w:pPr>
            <w:r w:rsidRPr="00F23DC3">
              <w:rPr>
                <w:rFonts w:cs="Arial"/>
                <w:lang w:val="en-GB"/>
              </w:rPr>
              <w:t>Harbour strategy – commencement of action plan, including:</w:t>
            </w:r>
          </w:p>
          <w:p w:rsidR="00CC1DB7" w:rsidRPr="00F23DC3" w:rsidRDefault="00CC1DB7" w:rsidP="006A0F52">
            <w:pPr>
              <w:pStyle w:val="Listeafsnit"/>
              <w:numPr>
                <w:ilvl w:val="0"/>
                <w:numId w:val="10"/>
              </w:numPr>
              <w:rPr>
                <w:rFonts w:cs="Arial"/>
                <w:lang w:val="en-GB"/>
              </w:rPr>
            </w:pPr>
            <w:r w:rsidRPr="00F23DC3">
              <w:rPr>
                <w:rFonts w:cs="Arial"/>
                <w:lang w:val="en-GB"/>
              </w:rPr>
              <w:t>Establishment of a partnership for a safe harbour</w:t>
            </w:r>
          </w:p>
          <w:p w:rsidR="00CC1DB7" w:rsidRPr="00F23DC3" w:rsidRDefault="00CC1DB7" w:rsidP="006A0F52">
            <w:pPr>
              <w:pStyle w:val="Listeafsnit"/>
              <w:numPr>
                <w:ilvl w:val="0"/>
                <w:numId w:val="10"/>
              </w:numPr>
              <w:rPr>
                <w:rFonts w:cs="Arial"/>
                <w:lang w:val="en-GB"/>
              </w:rPr>
            </w:pPr>
            <w:r w:rsidRPr="00F23DC3">
              <w:rPr>
                <w:rFonts w:cs="Arial"/>
                <w:lang w:val="en-GB"/>
              </w:rPr>
              <w:t>Start-up of the Blue Council (Blå Råd)</w:t>
            </w:r>
          </w:p>
          <w:p w:rsidR="00CC1DB7" w:rsidRPr="00F23DC3" w:rsidRDefault="00CC1DB7" w:rsidP="006A0F52">
            <w:pPr>
              <w:pStyle w:val="Listeafsnit"/>
              <w:numPr>
                <w:ilvl w:val="0"/>
                <w:numId w:val="10"/>
              </w:numPr>
              <w:rPr>
                <w:rFonts w:cs="Arial"/>
                <w:lang w:val="en-GB"/>
              </w:rPr>
            </w:pPr>
            <w:r w:rsidRPr="00F23DC3">
              <w:rPr>
                <w:rFonts w:cs="Arial"/>
                <w:lang w:val="en-GB"/>
              </w:rPr>
              <w:t>Implementation of expression of interest regarding user interests</w:t>
            </w:r>
          </w:p>
        </w:tc>
        <w:tc>
          <w:tcPr>
            <w:tcW w:w="3685" w:type="dxa"/>
          </w:tcPr>
          <w:p w:rsidR="00CC1DB7" w:rsidRPr="00F23DC3" w:rsidRDefault="00CC1DB7" w:rsidP="006A0F52">
            <w:pPr>
              <w:rPr>
                <w:rFonts w:cs="Arial"/>
                <w:szCs w:val="20"/>
                <w:lang w:val="en-GB"/>
              </w:rPr>
            </w:pPr>
          </w:p>
          <w:p w:rsidR="00CC1DB7" w:rsidRPr="00F23DC3" w:rsidRDefault="00CC1DB7" w:rsidP="006A0F52">
            <w:pPr>
              <w:rPr>
                <w:rFonts w:cs="Arial"/>
                <w:szCs w:val="20"/>
                <w:lang w:val="en-GB"/>
              </w:rPr>
            </w:pPr>
          </w:p>
          <w:p w:rsidR="00CC1DB7" w:rsidRPr="00F23DC3" w:rsidRDefault="00CC1DB7" w:rsidP="006A0F52">
            <w:pPr>
              <w:rPr>
                <w:rFonts w:cs="Arial"/>
                <w:szCs w:val="20"/>
                <w:lang w:val="en-GB"/>
              </w:rPr>
            </w:pPr>
            <w:r w:rsidRPr="00F23DC3">
              <w:rPr>
                <w:rFonts w:cs="Arial"/>
                <w:szCs w:val="20"/>
                <w:lang w:val="en-GB"/>
              </w:rPr>
              <w:t>To be implemented in 2019</w:t>
            </w:r>
          </w:p>
          <w:p w:rsidR="00CC1DB7" w:rsidRPr="00F23DC3" w:rsidRDefault="00CC1DB7" w:rsidP="006A0F52">
            <w:pPr>
              <w:rPr>
                <w:rFonts w:cs="Arial"/>
                <w:szCs w:val="20"/>
                <w:lang w:val="en-GB"/>
              </w:rPr>
            </w:pPr>
          </w:p>
          <w:p w:rsidR="00CC1DB7" w:rsidRPr="00F23DC3" w:rsidRDefault="00CC1DB7" w:rsidP="006A0F52">
            <w:pPr>
              <w:rPr>
                <w:rFonts w:cs="Arial"/>
                <w:szCs w:val="20"/>
                <w:lang w:val="en-GB"/>
              </w:rPr>
            </w:pPr>
            <w:r w:rsidRPr="00F23DC3">
              <w:rPr>
                <w:rFonts w:cs="Arial"/>
                <w:szCs w:val="20"/>
                <w:lang w:val="en-GB"/>
              </w:rPr>
              <w:t>To be implemented in 2019</w:t>
            </w:r>
          </w:p>
          <w:p w:rsidR="00CC1DB7" w:rsidRPr="00F23DC3" w:rsidRDefault="00CC1DB7" w:rsidP="006A0F52">
            <w:pPr>
              <w:rPr>
                <w:rFonts w:cs="Arial"/>
                <w:szCs w:val="20"/>
                <w:lang w:val="en-GB"/>
              </w:rPr>
            </w:pPr>
          </w:p>
          <w:p w:rsidR="00CC1DB7" w:rsidRPr="00F23DC3" w:rsidRDefault="00CC1DB7" w:rsidP="006A0F52">
            <w:pPr>
              <w:rPr>
                <w:rFonts w:cs="Arial"/>
                <w:szCs w:val="20"/>
                <w:lang w:val="en-GB"/>
              </w:rPr>
            </w:pPr>
            <w:r w:rsidRPr="00F23DC3">
              <w:rPr>
                <w:rFonts w:cs="Arial"/>
                <w:szCs w:val="20"/>
                <w:lang w:val="en-GB"/>
              </w:rPr>
              <w:t>To be implemented in 2019 (first time)</w:t>
            </w:r>
          </w:p>
        </w:tc>
      </w:tr>
      <w:tr w:rsidR="00CC1DB7" w:rsidRPr="00F23DC3" w:rsidTr="006A0F52">
        <w:tc>
          <w:tcPr>
            <w:tcW w:w="3794" w:type="dxa"/>
          </w:tcPr>
          <w:p w:rsidR="00CC1DB7" w:rsidRPr="00E95903" w:rsidRDefault="00CC1DB7" w:rsidP="006A0F52">
            <w:pPr>
              <w:rPr>
                <w:rFonts w:cs="Arial"/>
              </w:rPr>
            </w:pPr>
            <w:r w:rsidRPr="00E95903">
              <w:rPr>
                <w:rFonts w:cs="Arial"/>
              </w:rPr>
              <w:t>Establishment of Det Flydende Aktivitetshus at Nordhavn</w:t>
            </w:r>
          </w:p>
          <w:p w:rsidR="00CC1DB7" w:rsidRPr="00E95903" w:rsidRDefault="00CC1DB7" w:rsidP="006A0F52">
            <w:pPr>
              <w:rPr>
                <w:rFonts w:cs="Arial"/>
              </w:rPr>
            </w:pPr>
          </w:p>
        </w:tc>
        <w:tc>
          <w:tcPr>
            <w:tcW w:w="3685" w:type="dxa"/>
          </w:tcPr>
          <w:p w:rsidR="00CC1DB7" w:rsidRPr="00F23DC3" w:rsidRDefault="00CC1DB7" w:rsidP="006A0F52">
            <w:pPr>
              <w:rPr>
                <w:rFonts w:cs="Arial"/>
                <w:szCs w:val="20"/>
                <w:lang w:val="en-GB"/>
              </w:rPr>
            </w:pPr>
            <w:r w:rsidRPr="00F23DC3">
              <w:rPr>
                <w:rFonts w:cs="Arial"/>
                <w:szCs w:val="20"/>
                <w:lang w:val="en-GB"/>
              </w:rPr>
              <w:t>To be implemented in 2019</w:t>
            </w:r>
          </w:p>
        </w:tc>
      </w:tr>
      <w:tr w:rsidR="00CC1DB7" w:rsidRPr="00F23DC3" w:rsidTr="006A0F52">
        <w:tc>
          <w:tcPr>
            <w:tcW w:w="3794" w:type="dxa"/>
          </w:tcPr>
          <w:p w:rsidR="00CC1DB7" w:rsidRPr="00F23DC3" w:rsidRDefault="00CC1DB7" w:rsidP="006A0F52">
            <w:pPr>
              <w:rPr>
                <w:rFonts w:cs="Arial"/>
                <w:lang w:val="en-GB"/>
              </w:rPr>
            </w:pPr>
            <w:r w:rsidRPr="00F23DC3">
              <w:rPr>
                <w:rFonts w:cs="Arial"/>
                <w:lang w:val="en-GB"/>
              </w:rPr>
              <w:t>Entering into agreement regarding establishment of Byens Hus at Ørestad Syd</w:t>
            </w:r>
          </w:p>
        </w:tc>
        <w:tc>
          <w:tcPr>
            <w:tcW w:w="3685" w:type="dxa"/>
          </w:tcPr>
          <w:p w:rsidR="00CC1DB7" w:rsidRPr="00F23DC3" w:rsidRDefault="00CC1DB7" w:rsidP="006A0F52">
            <w:pPr>
              <w:rPr>
                <w:rFonts w:cs="Arial"/>
                <w:szCs w:val="20"/>
                <w:lang w:val="en-GB"/>
              </w:rPr>
            </w:pPr>
            <w:r w:rsidRPr="00F23DC3">
              <w:rPr>
                <w:rFonts w:cs="Arial"/>
                <w:szCs w:val="20"/>
                <w:lang w:val="en-GB"/>
              </w:rPr>
              <w:t>To be implemented in 2019</w:t>
            </w:r>
          </w:p>
        </w:tc>
      </w:tr>
    </w:tbl>
    <w:p w:rsidR="00CC1DB7" w:rsidRPr="00F23DC3" w:rsidRDefault="00CC1DB7" w:rsidP="00CC1DB7">
      <w:pPr>
        <w:rPr>
          <w:rFonts w:cs="Arial"/>
          <w:lang w:val="en-GB"/>
        </w:rPr>
      </w:pPr>
    </w:p>
    <w:p w:rsidR="00CC1DB7" w:rsidRPr="00F23DC3" w:rsidRDefault="00CC1DB7" w:rsidP="00CC1DB7">
      <w:pPr>
        <w:rPr>
          <w:rFonts w:cs="Arial"/>
          <w:i/>
          <w:lang w:val="en-GB"/>
        </w:rPr>
      </w:pPr>
    </w:p>
    <w:p w:rsidR="00CC1DB7" w:rsidRPr="00F23DC3" w:rsidRDefault="00CC1DB7" w:rsidP="00CC1DB7">
      <w:pPr>
        <w:pStyle w:val="Overskrift1"/>
        <w:spacing w:after="0"/>
        <w:rPr>
          <w:lang w:val="en-GB"/>
        </w:rPr>
      </w:pPr>
      <w:bookmarkStart w:id="33" w:name="_Toc507417370"/>
      <w:bookmarkStart w:id="34" w:name="_Toc381345872"/>
      <w:bookmarkStart w:id="35" w:name="_Toc381103226"/>
      <w:bookmarkStart w:id="36" w:name="_Toc380587579"/>
      <w:bookmarkStart w:id="37" w:name="_Toc380587096"/>
      <w:r w:rsidRPr="00F23DC3">
        <w:rPr>
          <w:lang w:val="en-GB"/>
        </w:rPr>
        <w:t xml:space="preserve">Multiplication of </w:t>
      </w:r>
      <w:r w:rsidR="00B8035C">
        <w:rPr>
          <w:lang w:val="en-GB"/>
        </w:rPr>
        <w:t>CPH City &amp; Port Development</w:t>
      </w:r>
      <w:r w:rsidRPr="00F23DC3">
        <w:rPr>
          <w:lang w:val="en-GB"/>
        </w:rPr>
        <w:t>'s COP</w:t>
      </w:r>
      <w:bookmarkEnd w:id="33"/>
      <w:bookmarkEnd w:id="34"/>
      <w:bookmarkEnd w:id="35"/>
      <w:bookmarkEnd w:id="36"/>
      <w:bookmarkEnd w:id="37"/>
    </w:p>
    <w:p w:rsidR="00CC1DB7" w:rsidRPr="00F23DC3" w:rsidRDefault="00CC1DB7" w:rsidP="00CC1DB7">
      <w:pPr>
        <w:rPr>
          <w:rFonts w:cs="Arial"/>
          <w:lang w:val="en-GB"/>
        </w:rPr>
      </w:pPr>
    </w:p>
    <w:p w:rsidR="00CC1DB7" w:rsidRPr="00F23DC3" w:rsidRDefault="00CC1DB7" w:rsidP="00CC1DB7">
      <w:pPr>
        <w:rPr>
          <w:rFonts w:cs="Arial"/>
          <w:lang w:val="en-GB"/>
        </w:rPr>
      </w:pPr>
    </w:p>
    <w:p w:rsidR="00CC1DB7" w:rsidRPr="00F23DC3" w:rsidRDefault="00B8035C" w:rsidP="00217696">
      <w:pPr>
        <w:rPr>
          <w:lang w:val="en-GB"/>
        </w:rPr>
      </w:pPr>
      <w:r>
        <w:rPr>
          <w:rFonts w:cs="Arial"/>
          <w:lang w:val="en-GB"/>
        </w:rPr>
        <w:t>CPH City &amp; Port Development</w:t>
      </w:r>
      <w:r w:rsidR="00CC1DB7" w:rsidRPr="00F23DC3">
        <w:rPr>
          <w:rFonts w:cs="Arial"/>
          <w:lang w:val="en-GB"/>
        </w:rPr>
        <w:t xml:space="preserve"> will publish this COP on our website </w:t>
      </w:r>
      <w:hyperlink r:id="rId9" w:history="1">
        <w:r w:rsidR="00CC1DB7" w:rsidRPr="00F23DC3">
          <w:rPr>
            <w:rStyle w:val="Hyperlink"/>
            <w:rFonts w:ascii="Arial" w:hAnsi="Arial" w:cs="Arial"/>
            <w:lang w:val="en-GB"/>
          </w:rPr>
          <w:t>www.byoghavn.dk</w:t>
        </w:r>
      </w:hyperlink>
    </w:p>
    <w:sectPr w:rsidR="00CC1DB7" w:rsidRPr="00F23DC3" w:rsidSect="00AC0BD3">
      <w:headerReference w:type="default" r:id="rId10"/>
      <w:headerReference w:type="first" r:id="rId11"/>
      <w:footerReference w:type="first" r:id="rId12"/>
      <w:endnotePr>
        <w:numFmt w:val="decimal"/>
      </w:endnotePr>
      <w:pgSz w:w="11907" w:h="16840" w:code="9"/>
      <w:pgMar w:top="2127" w:right="3402" w:bottom="1134" w:left="1134" w:header="567"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9A4" w:rsidRDefault="008229A4" w:rsidP="00B86F31">
      <w:r>
        <w:separator/>
      </w:r>
    </w:p>
  </w:endnote>
  <w:endnote w:type="continuationSeparator" w:id="0">
    <w:p w:rsidR="008229A4" w:rsidRDefault="008229A4" w:rsidP="00B8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81" w:rsidRDefault="001D5B81">
    <w:pPr>
      <w:pStyle w:val="Sidefod"/>
    </w:pPr>
    <w:r>
      <w:tab/>
    </w:r>
    <w:r>
      <w:tab/>
    </w:r>
    <w:r>
      <w:tab/>
    </w:r>
    <w:r>
      <w:tab/>
    </w:r>
    <w:r w:rsidR="00C3046D">
      <w:rPr>
        <w:vanish/>
      </w:rPr>
      <w:fldChar w:fldCharType="begin"/>
    </w:r>
    <w:r>
      <w:rPr>
        <w:vanish/>
      </w:rPr>
      <w:instrText xml:space="preserve"> PAGE </w:instrText>
    </w:r>
    <w:r w:rsidR="00C3046D">
      <w:rPr>
        <w:vanish/>
      </w:rPr>
      <w:fldChar w:fldCharType="separate"/>
    </w:r>
    <w:r w:rsidR="00981CB8">
      <w:rPr>
        <w:noProof/>
        <w:vanish/>
      </w:rPr>
      <w:t>1</w:t>
    </w:r>
    <w:r w:rsidR="00C3046D">
      <w:rPr>
        <w:vanish/>
      </w:rPr>
      <w:fldChar w:fldCharType="end"/>
    </w:r>
    <w:r>
      <w:rPr>
        <w:vanish/>
      </w:rPr>
      <w:t>/</w:t>
    </w:r>
    <w:r w:rsidR="00C3046D">
      <w:rPr>
        <w:vanish/>
      </w:rPr>
      <w:fldChar w:fldCharType="begin"/>
    </w:r>
    <w:r>
      <w:rPr>
        <w:vanish/>
      </w:rPr>
      <w:instrText xml:space="preserve"> sectionpages </w:instrText>
    </w:r>
    <w:r w:rsidR="00C3046D">
      <w:rPr>
        <w:vanish/>
      </w:rPr>
      <w:fldChar w:fldCharType="separate"/>
    </w:r>
    <w:r w:rsidR="00981CB8">
      <w:rPr>
        <w:noProof/>
        <w:vanish/>
      </w:rPr>
      <w:t>13</w:t>
    </w:r>
    <w:r w:rsidR="00C3046D">
      <w:rPr>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9A4" w:rsidRDefault="008229A4" w:rsidP="00B86F31">
      <w:r>
        <w:separator/>
      </w:r>
    </w:p>
  </w:footnote>
  <w:footnote w:type="continuationSeparator" w:id="0">
    <w:p w:rsidR="008229A4" w:rsidRDefault="008229A4" w:rsidP="00B8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81" w:rsidRDefault="00CD71F9">
    <w:pPr>
      <w:pStyle w:val="Sidehoved"/>
    </w:pPr>
    <w:r>
      <w:rPr>
        <w:noProof/>
        <w:lang w:eastAsia="da-DK"/>
      </w:rPr>
      <mc:AlternateContent>
        <mc:Choice Requires="wps">
          <w:drawing>
            <wp:anchor distT="0" distB="0" distL="114300" distR="114300" simplePos="0" relativeHeight="251660288" behindDoc="0" locked="0" layoutInCell="1" allowOverlap="1">
              <wp:simplePos x="0" y="0"/>
              <wp:positionH relativeFrom="page">
                <wp:posOffset>5753735</wp:posOffset>
              </wp:positionH>
              <wp:positionV relativeFrom="page">
                <wp:posOffset>1413510</wp:posOffset>
              </wp:positionV>
              <wp:extent cx="1367155" cy="439420"/>
              <wp:effectExtent l="0" t="0" r="444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1" w:rsidRPr="002171DE" w:rsidRDefault="001D5B81" w:rsidP="00D94C62">
                          <w:pPr>
                            <w:pStyle w:val="Template-Date"/>
                          </w:pPr>
                          <w:bookmarkStart w:id="38" w:name="bmkOvsPage"/>
                          <w:r>
                            <w:t>Page</w:t>
                          </w:r>
                          <w:bookmarkEnd w:id="38"/>
                          <w:r>
                            <w:t xml:space="preserve"> </w:t>
                          </w:r>
                          <w:r w:rsidR="00C3046D">
                            <w:fldChar w:fldCharType="begin"/>
                          </w:r>
                          <w:r>
                            <w:instrText xml:space="preserve"> PAGE </w:instrText>
                          </w:r>
                          <w:r w:rsidR="00C3046D">
                            <w:fldChar w:fldCharType="separate"/>
                          </w:r>
                          <w:r w:rsidR="00CD71F9">
                            <w:t>13</w:t>
                          </w:r>
                          <w:r w:rsidR="00C3046D">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3.05pt;margin-top:111.3pt;width:107.65pt;height:3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3nrQ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" filled="f" stroked="f">
              <v:textbox inset="0,0,0,0">
                <w:txbxContent>
                  <w:p w:rsidR="001D5B81" w:rsidRPr="002171DE" w:rsidRDefault="001D5B81" w:rsidP="00D94C62">
                    <w:pPr>
                      <w:pStyle w:val="Template-Date"/>
                    </w:pPr>
                    <w:bookmarkStart w:id="39" w:name="bmkOvsPage"/>
                    <w:r>
                      <w:t>Page</w:t>
                    </w:r>
                    <w:bookmarkEnd w:id="39"/>
                    <w:r>
                      <w:t xml:space="preserve"> </w:t>
                    </w:r>
                    <w:r w:rsidR="00C3046D">
                      <w:fldChar w:fldCharType="begin"/>
                    </w:r>
                    <w:r>
                      <w:instrText xml:space="preserve"> PAGE </w:instrText>
                    </w:r>
                    <w:r w:rsidR="00C3046D">
                      <w:fldChar w:fldCharType="separate"/>
                    </w:r>
                    <w:r w:rsidR="00CD71F9">
                      <w:t>13</w:t>
                    </w:r>
                    <w:r w:rsidR="00C3046D">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81" w:rsidRDefault="001D5B81">
    <w:pPr>
      <w:pStyle w:val="Sidehoved"/>
    </w:pPr>
  </w:p>
  <w:p w:rsidR="001D5B81" w:rsidRDefault="001D5B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5AFD"/>
    <w:multiLevelType w:val="hybridMultilevel"/>
    <w:tmpl w:val="D51664F0"/>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D3C2E53"/>
    <w:multiLevelType w:val="hybridMultilevel"/>
    <w:tmpl w:val="E398D21A"/>
    <w:lvl w:ilvl="0" w:tplc="44222F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BA6D22"/>
    <w:multiLevelType w:val="hybridMultilevel"/>
    <w:tmpl w:val="7CF68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D2779E"/>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2137"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47210069"/>
    <w:multiLevelType w:val="hybridMultilevel"/>
    <w:tmpl w:val="B10EF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81565E"/>
    <w:multiLevelType w:val="hybridMultilevel"/>
    <w:tmpl w:val="38E87C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C8826AA"/>
    <w:multiLevelType w:val="hybridMultilevel"/>
    <w:tmpl w:val="167CE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6F189F"/>
    <w:multiLevelType w:val="hybridMultilevel"/>
    <w:tmpl w:val="601A56D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34C7605"/>
    <w:multiLevelType w:val="multilevel"/>
    <w:tmpl w:val="2C226A52"/>
    <w:lvl w:ilvl="0">
      <w:start w:val="1"/>
      <w:numFmt w:val="decimal"/>
      <w:pStyle w:val="Normal-Numb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3"/>
  </w:num>
  <w:num w:numId="3">
    <w:abstractNumId w:val="7"/>
  </w:num>
  <w:num w:numId="4">
    <w:abstractNumId w:val="4"/>
  </w:num>
  <w:num w:numId="5">
    <w:abstractNumId w:val="0"/>
  </w:num>
  <w:num w:numId="6">
    <w:abstractNumId w:val="3"/>
  </w:num>
  <w:num w:numId="7">
    <w:abstractNumId w:val="3"/>
  </w:num>
  <w:num w:numId="8">
    <w:abstractNumId w:val="2"/>
  </w:num>
  <w:num w:numId="9">
    <w:abstractNumId w:val="6"/>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4"/>
    <w:rsid w:val="00006714"/>
    <w:rsid w:val="00012DE3"/>
    <w:rsid w:val="00017343"/>
    <w:rsid w:val="00036AE0"/>
    <w:rsid w:val="00055405"/>
    <w:rsid w:val="00064F4F"/>
    <w:rsid w:val="0007505A"/>
    <w:rsid w:val="00086295"/>
    <w:rsid w:val="000B26AE"/>
    <w:rsid w:val="000B462F"/>
    <w:rsid w:val="000B4689"/>
    <w:rsid w:val="000B544F"/>
    <w:rsid w:val="000B7D4C"/>
    <w:rsid w:val="000C0898"/>
    <w:rsid w:val="000D3CE9"/>
    <w:rsid w:val="000D4C74"/>
    <w:rsid w:val="00115F9D"/>
    <w:rsid w:val="00122D4D"/>
    <w:rsid w:val="001276FC"/>
    <w:rsid w:val="00134972"/>
    <w:rsid w:val="001371B2"/>
    <w:rsid w:val="0014349C"/>
    <w:rsid w:val="00150CFE"/>
    <w:rsid w:val="00154E02"/>
    <w:rsid w:val="00155869"/>
    <w:rsid w:val="00163E29"/>
    <w:rsid w:val="001720E6"/>
    <w:rsid w:val="0017760B"/>
    <w:rsid w:val="00183483"/>
    <w:rsid w:val="001849C6"/>
    <w:rsid w:val="00192C5F"/>
    <w:rsid w:val="00196BFD"/>
    <w:rsid w:val="001D5B81"/>
    <w:rsid w:val="001D648C"/>
    <w:rsid w:val="00203CD6"/>
    <w:rsid w:val="00206A70"/>
    <w:rsid w:val="00217696"/>
    <w:rsid w:val="00217A3B"/>
    <w:rsid w:val="0022721F"/>
    <w:rsid w:val="00233CB6"/>
    <w:rsid w:val="00242D9A"/>
    <w:rsid w:val="00251898"/>
    <w:rsid w:val="0026619E"/>
    <w:rsid w:val="0026720B"/>
    <w:rsid w:val="002B5468"/>
    <w:rsid w:val="002B6E42"/>
    <w:rsid w:val="002C5B03"/>
    <w:rsid w:val="002C6420"/>
    <w:rsid w:val="002D281C"/>
    <w:rsid w:val="002E07E5"/>
    <w:rsid w:val="002E725D"/>
    <w:rsid w:val="002E7DD7"/>
    <w:rsid w:val="0030318A"/>
    <w:rsid w:val="00303F99"/>
    <w:rsid w:val="003134F1"/>
    <w:rsid w:val="003170BF"/>
    <w:rsid w:val="00321DC3"/>
    <w:rsid w:val="00325B9C"/>
    <w:rsid w:val="0033063F"/>
    <w:rsid w:val="003432FD"/>
    <w:rsid w:val="003446B7"/>
    <w:rsid w:val="00355E44"/>
    <w:rsid w:val="003716E3"/>
    <w:rsid w:val="00385908"/>
    <w:rsid w:val="003B1203"/>
    <w:rsid w:val="003C01CB"/>
    <w:rsid w:val="003C4A22"/>
    <w:rsid w:val="003C675E"/>
    <w:rsid w:val="003F364D"/>
    <w:rsid w:val="004000C7"/>
    <w:rsid w:val="004309AB"/>
    <w:rsid w:val="004621C7"/>
    <w:rsid w:val="004732B0"/>
    <w:rsid w:val="00481AD7"/>
    <w:rsid w:val="004878C7"/>
    <w:rsid w:val="004A1045"/>
    <w:rsid w:val="004B0BFF"/>
    <w:rsid w:val="004B133E"/>
    <w:rsid w:val="004B6146"/>
    <w:rsid w:val="004C1BE3"/>
    <w:rsid w:val="004C7028"/>
    <w:rsid w:val="004D0911"/>
    <w:rsid w:val="004E2662"/>
    <w:rsid w:val="004E3E3A"/>
    <w:rsid w:val="004E462B"/>
    <w:rsid w:val="004E4757"/>
    <w:rsid w:val="004F175E"/>
    <w:rsid w:val="005009DB"/>
    <w:rsid w:val="00500B08"/>
    <w:rsid w:val="00516CEA"/>
    <w:rsid w:val="005208F7"/>
    <w:rsid w:val="00523917"/>
    <w:rsid w:val="00545605"/>
    <w:rsid w:val="0055291E"/>
    <w:rsid w:val="00553309"/>
    <w:rsid w:val="005636BA"/>
    <w:rsid w:val="00567652"/>
    <w:rsid w:val="005704A7"/>
    <w:rsid w:val="00585B00"/>
    <w:rsid w:val="0059145B"/>
    <w:rsid w:val="005A1FEA"/>
    <w:rsid w:val="005B0106"/>
    <w:rsid w:val="005B540C"/>
    <w:rsid w:val="005C08F1"/>
    <w:rsid w:val="005C23AB"/>
    <w:rsid w:val="005C5275"/>
    <w:rsid w:val="005E04EA"/>
    <w:rsid w:val="005F54AF"/>
    <w:rsid w:val="00601B5C"/>
    <w:rsid w:val="006063B8"/>
    <w:rsid w:val="00621438"/>
    <w:rsid w:val="006305B5"/>
    <w:rsid w:val="0063499F"/>
    <w:rsid w:val="00637B50"/>
    <w:rsid w:val="00663FD7"/>
    <w:rsid w:val="006679C2"/>
    <w:rsid w:val="00677EE3"/>
    <w:rsid w:val="00687AD3"/>
    <w:rsid w:val="00690D5B"/>
    <w:rsid w:val="006B2A87"/>
    <w:rsid w:val="006B7989"/>
    <w:rsid w:val="006C410D"/>
    <w:rsid w:val="006C7439"/>
    <w:rsid w:val="006D0FC4"/>
    <w:rsid w:val="006D23E5"/>
    <w:rsid w:val="006F2A36"/>
    <w:rsid w:val="00701DC4"/>
    <w:rsid w:val="00704424"/>
    <w:rsid w:val="00706965"/>
    <w:rsid w:val="00715A99"/>
    <w:rsid w:val="007166E8"/>
    <w:rsid w:val="00723C60"/>
    <w:rsid w:val="00732C1B"/>
    <w:rsid w:val="00753CA0"/>
    <w:rsid w:val="007812D3"/>
    <w:rsid w:val="0078712B"/>
    <w:rsid w:val="00796DAF"/>
    <w:rsid w:val="007B5270"/>
    <w:rsid w:val="007C39A4"/>
    <w:rsid w:val="007D1750"/>
    <w:rsid w:val="007D3BB4"/>
    <w:rsid w:val="007E2324"/>
    <w:rsid w:val="007E7BF8"/>
    <w:rsid w:val="007F38D6"/>
    <w:rsid w:val="00802BB4"/>
    <w:rsid w:val="00815D31"/>
    <w:rsid w:val="008229A4"/>
    <w:rsid w:val="0082769E"/>
    <w:rsid w:val="00854605"/>
    <w:rsid w:val="0086302B"/>
    <w:rsid w:val="00864512"/>
    <w:rsid w:val="00870C95"/>
    <w:rsid w:val="008713F1"/>
    <w:rsid w:val="00884812"/>
    <w:rsid w:val="00886BA4"/>
    <w:rsid w:val="008A2116"/>
    <w:rsid w:val="008B431E"/>
    <w:rsid w:val="008D1A26"/>
    <w:rsid w:val="008E1A5F"/>
    <w:rsid w:val="008F2B4E"/>
    <w:rsid w:val="00903E5D"/>
    <w:rsid w:val="0090697D"/>
    <w:rsid w:val="00907A38"/>
    <w:rsid w:val="0091329A"/>
    <w:rsid w:val="009155C5"/>
    <w:rsid w:val="00933C90"/>
    <w:rsid w:val="0093421D"/>
    <w:rsid w:val="00943468"/>
    <w:rsid w:val="00950D1C"/>
    <w:rsid w:val="009625AC"/>
    <w:rsid w:val="009779D0"/>
    <w:rsid w:val="00981CB8"/>
    <w:rsid w:val="009B0080"/>
    <w:rsid w:val="009B127F"/>
    <w:rsid w:val="009B6224"/>
    <w:rsid w:val="009C1CA5"/>
    <w:rsid w:val="009C2924"/>
    <w:rsid w:val="009F0C91"/>
    <w:rsid w:val="009F344A"/>
    <w:rsid w:val="009F6B7B"/>
    <w:rsid w:val="009F7BE3"/>
    <w:rsid w:val="00A108B5"/>
    <w:rsid w:val="00A11353"/>
    <w:rsid w:val="00A11B66"/>
    <w:rsid w:val="00A2156F"/>
    <w:rsid w:val="00A26D4B"/>
    <w:rsid w:val="00A33A05"/>
    <w:rsid w:val="00A5033C"/>
    <w:rsid w:val="00A60AC4"/>
    <w:rsid w:val="00A674EE"/>
    <w:rsid w:val="00A71855"/>
    <w:rsid w:val="00A81162"/>
    <w:rsid w:val="00A819B4"/>
    <w:rsid w:val="00AC0BD3"/>
    <w:rsid w:val="00AC0CE7"/>
    <w:rsid w:val="00AC1A52"/>
    <w:rsid w:val="00AC3143"/>
    <w:rsid w:val="00AC5191"/>
    <w:rsid w:val="00B23D1A"/>
    <w:rsid w:val="00B27BA7"/>
    <w:rsid w:val="00B324C6"/>
    <w:rsid w:val="00B42DA8"/>
    <w:rsid w:val="00B42F18"/>
    <w:rsid w:val="00B527DB"/>
    <w:rsid w:val="00B6300B"/>
    <w:rsid w:val="00B8035C"/>
    <w:rsid w:val="00B85D3A"/>
    <w:rsid w:val="00B86F31"/>
    <w:rsid w:val="00BA0852"/>
    <w:rsid w:val="00BA256B"/>
    <w:rsid w:val="00BC07F8"/>
    <w:rsid w:val="00BC4C8E"/>
    <w:rsid w:val="00BC6A81"/>
    <w:rsid w:val="00BD0F4C"/>
    <w:rsid w:val="00BF305F"/>
    <w:rsid w:val="00C20F32"/>
    <w:rsid w:val="00C24D3C"/>
    <w:rsid w:val="00C301F3"/>
    <w:rsid w:val="00C3046D"/>
    <w:rsid w:val="00C35D54"/>
    <w:rsid w:val="00C43071"/>
    <w:rsid w:val="00C45F30"/>
    <w:rsid w:val="00C615F0"/>
    <w:rsid w:val="00C62807"/>
    <w:rsid w:val="00C65B43"/>
    <w:rsid w:val="00C71FF8"/>
    <w:rsid w:val="00C81BF5"/>
    <w:rsid w:val="00C963E6"/>
    <w:rsid w:val="00C97A04"/>
    <w:rsid w:val="00C97E0A"/>
    <w:rsid w:val="00CB38BF"/>
    <w:rsid w:val="00CB3F07"/>
    <w:rsid w:val="00CB6074"/>
    <w:rsid w:val="00CC1DB7"/>
    <w:rsid w:val="00CC2D0B"/>
    <w:rsid w:val="00CD3950"/>
    <w:rsid w:val="00CD71F9"/>
    <w:rsid w:val="00CF0922"/>
    <w:rsid w:val="00D103A0"/>
    <w:rsid w:val="00D21FC2"/>
    <w:rsid w:val="00D22A03"/>
    <w:rsid w:val="00D378CD"/>
    <w:rsid w:val="00D4459D"/>
    <w:rsid w:val="00D52F52"/>
    <w:rsid w:val="00D56DF0"/>
    <w:rsid w:val="00D64CA7"/>
    <w:rsid w:val="00D65BB5"/>
    <w:rsid w:val="00D76B6A"/>
    <w:rsid w:val="00D772FC"/>
    <w:rsid w:val="00D804B2"/>
    <w:rsid w:val="00D8659A"/>
    <w:rsid w:val="00D90238"/>
    <w:rsid w:val="00D92134"/>
    <w:rsid w:val="00D94C62"/>
    <w:rsid w:val="00D9755D"/>
    <w:rsid w:val="00DA06FA"/>
    <w:rsid w:val="00DA7926"/>
    <w:rsid w:val="00DA7C7C"/>
    <w:rsid w:val="00DC58C7"/>
    <w:rsid w:val="00DC6629"/>
    <w:rsid w:val="00DD0EC4"/>
    <w:rsid w:val="00DD7A2B"/>
    <w:rsid w:val="00DE0691"/>
    <w:rsid w:val="00DE6C6B"/>
    <w:rsid w:val="00DF0E2C"/>
    <w:rsid w:val="00E06B40"/>
    <w:rsid w:val="00E23FEC"/>
    <w:rsid w:val="00E246E8"/>
    <w:rsid w:val="00E50BF1"/>
    <w:rsid w:val="00E56E9C"/>
    <w:rsid w:val="00E67A90"/>
    <w:rsid w:val="00E95903"/>
    <w:rsid w:val="00E96BBF"/>
    <w:rsid w:val="00EA036A"/>
    <w:rsid w:val="00EB5562"/>
    <w:rsid w:val="00EC3FC0"/>
    <w:rsid w:val="00EE7A12"/>
    <w:rsid w:val="00EF3325"/>
    <w:rsid w:val="00EF386E"/>
    <w:rsid w:val="00F23DC3"/>
    <w:rsid w:val="00F253AC"/>
    <w:rsid w:val="00F262A4"/>
    <w:rsid w:val="00F43187"/>
    <w:rsid w:val="00F61B63"/>
    <w:rsid w:val="00F67F65"/>
    <w:rsid w:val="00F713B8"/>
    <w:rsid w:val="00F72D4E"/>
    <w:rsid w:val="00F75F05"/>
    <w:rsid w:val="00F77028"/>
    <w:rsid w:val="00F94CC9"/>
    <w:rsid w:val="00FA0499"/>
    <w:rsid w:val="00FA0FD7"/>
    <w:rsid w:val="00FA5F9F"/>
    <w:rsid w:val="00FA755C"/>
    <w:rsid w:val="00FB30EA"/>
    <w:rsid w:val="00FB35F9"/>
    <w:rsid w:val="00FC42F6"/>
    <w:rsid w:val="00FD424B"/>
    <w:rsid w:val="00FE57B2"/>
    <w:rsid w:val="00FF1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1B75B-1185-4907-94BE-167DA530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4"/>
    <w:pPr>
      <w:spacing w:after="0" w:line="240" w:lineRule="auto"/>
    </w:pPr>
    <w:rPr>
      <w:rFonts w:eastAsia="Times New Roman" w:cs="Times New Roman"/>
      <w:szCs w:val="24"/>
    </w:rPr>
  </w:style>
  <w:style w:type="paragraph" w:styleId="Overskrift1">
    <w:name w:val="heading 1"/>
    <w:basedOn w:val="Normal"/>
    <w:next w:val="Normal"/>
    <w:link w:val="Overskrift1Tegn"/>
    <w:qFormat/>
    <w:rsid w:val="00802BB4"/>
    <w:pPr>
      <w:keepNext/>
      <w:numPr>
        <w:numId w:val="2"/>
      </w:numPr>
      <w:spacing w:after="140"/>
      <w:outlineLvl w:val="0"/>
    </w:pPr>
    <w:rPr>
      <w:rFonts w:cs="Arial"/>
      <w:b/>
      <w:bCs/>
      <w:sz w:val="24"/>
      <w:szCs w:val="32"/>
    </w:rPr>
  </w:style>
  <w:style w:type="paragraph" w:styleId="Overskrift2">
    <w:name w:val="heading 2"/>
    <w:basedOn w:val="Normal"/>
    <w:next w:val="Normal"/>
    <w:link w:val="Overskrift2Tegn"/>
    <w:qFormat/>
    <w:rsid w:val="00802BB4"/>
    <w:pPr>
      <w:keepNext/>
      <w:numPr>
        <w:ilvl w:val="1"/>
        <w:numId w:val="2"/>
      </w:numPr>
      <w:spacing w:after="140"/>
      <w:outlineLvl w:val="1"/>
    </w:pPr>
    <w:rPr>
      <w:rFonts w:cs="Arial"/>
      <w:b/>
      <w:bCs/>
      <w:iCs/>
      <w:sz w:val="22"/>
      <w:szCs w:val="28"/>
    </w:rPr>
  </w:style>
  <w:style w:type="paragraph" w:styleId="Overskrift3">
    <w:name w:val="heading 3"/>
    <w:basedOn w:val="Normal"/>
    <w:next w:val="Normal"/>
    <w:link w:val="Overskrift3Tegn"/>
    <w:qFormat/>
    <w:rsid w:val="002C5B03"/>
    <w:pPr>
      <w:keepNext/>
      <w:numPr>
        <w:ilvl w:val="2"/>
        <w:numId w:val="2"/>
      </w:numPr>
      <w:spacing w:after="140"/>
      <w:ind w:left="720"/>
      <w:outlineLvl w:val="2"/>
    </w:pPr>
    <w:rPr>
      <w:rFonts w:cs="Arial"/>
      <w:b/>
      <w:bCs/>
      <w:szCs w:val="26"/>
    </w:rPr>
  </w:style>
  <w:style w:type="paragraph" w:styleId="Overskrift4">
    <w:name w:val="heading 4"/>
    <w:basedOn w:val="Overskrift3"/>
    <w:next w:val="Normal"/>
    <w:link w:val="Overskrift4Tegn"/>
    <w:qFormat/>
    <w:rsid w:val="00802BB4"/>
    <w:pPr>
      <w:numPr>
        <w:ilvl w:val="3"/>
      </w:numPr>
      <w:outlineLvl w:val="3"/>
    </w:pPr>
  </w:style>
  <w:style w:type="paragraph" w:styleId="Overskrift5">
    <w:name w:val="heading 5"/>
    <w:basedOn w:val="Overskrift4"/>
    <w:next w:val="Normal"/>
    <w:link w:val="Overskrift5Tegn"/>
    <w:qFormat/>
    <w:rsid w:val="00802BB4"/>
    <w:pPr>
      <w:numPr>
        <w:ilvl w:val="4"/>
      </w:numPr>
      <w:outlineLvl w:val="4"/>
    </w:pPr>
  </w:style>
  <w:style w:type="paragraph" w:styleId="Overskrift6">
    <w:name w:val="heading 6"/>
    <w:basedOn w:val="Overskrift5"/>
    <w:next w:val="Normal"/>
    <w:link w:val="Overskrift6Tegn"/>
    <w:qFormat/>
    <w:rsid w:val="00802BB4"/>
    <w:pPr>
      <w:numPr>
        <w:ilvl w:val="5"/>
      </w:numPr>
      <w:outlineLvl w:val="5"/>
    </w:pPr>
  </w:style>
  <w:style w:type="paragraph" w:styleId="Overskrift7">
    <w:name w:val="heading 7"/>
    <w:basedOn w:val="Overskrift6"/>
    <w:next w:val="Normal"/>
    <w:link w:val="Overskrift7Tegn"/>
    <w:qFormat/>
    <w:rsid w:val="00802BB4"/>
    <w:pPr>
      <w:numPr>
        <w:ilvl w:val="6"/>
      </w:numPr>
      <w:outlineLvl w:val="6"/>
    </w:pPr>
  </w:style>
  <w:style w:type="paragraph" w:styleId="Overskrift8">
    <w:name w:val="heading 8"/>
    <w:basedOn w:val="Overskrift7"/>
    <w:next w:val="Normal"/>
    <w:link w:val="Overskrift8Tegn"/>
    <w:qFormat/>
    <w:rsid w:val="00802BB4"/>
    <w:pPr>
      <w:numPr>
        <w:ilvl w:val="7"/>
      </w:numPr>
      <w:outlineLvl w:val="7"/>
    </w:pPr>
  </w:style>
  <w:style w:type="paragraph" w:styleId="Overskrift9">
    <w:name w:val="heading 9"/>
    <w:basedOn w:val="Overskrift8"/>
    <w:next w:val="Normal"/>
    <w:link w:val="Overskrift9Tegn"/>
    <w:qFormat/>
    <w:rsid w:val="00802BB4"/>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02BB4"/>
    <w:rPr>
      <w:rFonts w:eastAsia="Times New Roman" w:cs="Arial"/>
      <w:b/>
      <w:bCs/>
      <w:sz w:val="24"/>
      <w:szCs w:val="32"/>
    </w:rPr>
  </w:style>
  <w:style w:type="character" w:customStyle="1" w:styleId="Overskrift2Tegn">
    <w:name w:val="Overskrift 2 Tegn"/>
    <w:basedOn w:val="Standardskrifttypeiafsnit"/>
    <w:link w:val="Overskrift2"/>
    <w:rsid w:val="00802BB4"/>
    <w:rPr>
      <w:rFonts w:eastAsia="Times New Roman" w:cs="Arial"/>
      <w:b/>
      <w:bCs/>
      <w:iCs/>
      <w:sz w:val="22"/>
      <w:szCs w:val="28"/>
    </w:rPr>
  </w:style>
  <w:style w:type="character" w:customStyle="1" w:styleId="Overskrift3Tegn">
    <w:name w:val="Overskrift 3 Tegn"/>
    <w:basedOn w:val="Standardskrifttypeiafsnit"/>
    <w:link w:val="Overskrift3"/>
    <w:rsid w:val="002C5B03"/>
    <w:rPr>
      <w:rFonts w:eastAsia="Times New Roman" w:cs="Arial"/>
      <w:b/>
      <w:bCs/>
      <w:szCs w:val="26"/>
    </w:rPr>
  </w:style>
  <w:style w:type="character" w:customStyle="1" w:styleId="Overskrift4Tegn">
    <w:name w:val="Overskrift 4 Tegn"/>
    <w:basedOn w:val="Standardskrifttypeiafsnit"/>
    <w:link w:val="Overskrift4"/>
    <w:rsid w:val="00802BB4"/>
    <w:rPr>
      <w:rFonts w:eastAsia="Times New Roman" w:cs="Arial"/>
      <w:b/>
      <w:bCs/>
      <w:szCs w:val="26"/>
    </w:rPr>
  </w:style>
  <w:style w:type="character" w:customStyle="1" w:styleId="Overskrift5Tegn">
    <w:name w:val="Overskrift 5 Tegn"/>
    <w:basedOn w:val="Standardskrifttypeiafsnit"/>
    <w:link w:val="Overskrift5"/>
    <w:rsid w:val="00802BB4"/>
    <w:rPr>
      <w:rFonts w:eastAsia="Times New Roman" w:cs="Arial"/>
      <w:b/>
      <w:bCs/>
      <w:szCs w:val="26"/>
    </w:rPr>
  </w:style>
  <w:style w:type="character" w:customStyle="1" w:styleId="Overskrift6Tegn">
    <w:name w:val="Overskrift 6 Tegn"/>
    <w:basedOn w:val="Standardskrifttypeiafsnit"/>
    <w:link w:val="Overskrift6"/>
    <w:rsid w:val="00802BB4"/>
    <w:rPr>
      <w:rFonts w:eastAsia="Times New Roman" w:cs="Arial"/>
      <w:b/>
      <w:bCs/>
      <w:szCs w:val="26"/>
    </w:rPr>
  </w:style>
  <w:style w:type="character" w:customStyle="1" w:styleId="Overskrift7Tegn">
    <w:name w:val="Overskrift 7 Tegn"/>
    <w:basedOn w:val="Standardskrifttypeiafsnit"/>
    <w:link w:val="Overskrift7"/>
    <w:rsid w:val="00802BB4"/>
    <w:rPr>
      <w:rFonts w:eastAsia="Times New Roman" w:cs="Arial"/>
      <w:b/>
      <w:bCs/>
      <w:szCs w:val="26"/>
    </w:rPr>
  </w:style>
  <w:style w:type="character" w:customStyle="1" w:styleId="Overskrift8Tegn">
    <w:name w:val="Overskrift 8 Tegn"/>
    <w:basedOn w:val="Standardskrifttypeiafsnit"/>
    <w:link w:val="Overskrift8"/>
    <w:rsid w:val="00802BB4"/>
    <w:rPr>
      <w:rFonts w:eastAsia="Times New Roman" w:cs="Arial"/>
      <w:b/>
      <w:bCs/>
      <w:szCs w:val="26"/>
    </w:rPr>
  </w:style>
  <w:style w:type="character" w:customStyle="1" w:styleId="Overskrift9Tegn">
    <w:name w:val="Overskrift 9 Tegn"/>
    <w:basedOn w:val="Standardskrifttypeiafsnit"/>
    <w:link w:val="Overskrift9"/>
    <w:rsid w:val="00802BB4"/>
    <w:rPr>
      <w:rFonts w:eastAsia="Times New Roman" w:cs="Arial"/>
      <w:b/>
      <w:bCs/>
      <w:szCs w:val="26"/>
    </w:rPr>
  </w:style>
  <w:style w:type="paragraph" w:styleId="Indholdsfortegnelse1">
    <w:name w:val="toc 1"/>
    <w:basedOn w:val="Normal"/>
    <w:next w:val="Normal"/>
    <w:uiPriority w:val="39"/>
    <w:rsid w:val="00802BB4"/>
    <w:pPr>
      <w:tabs>
        <w:tab w:val="right" w:leader="dot" w:pos="7655"/>
      </w:tabs>
      <w:spacing w:before="120"/>
      <w:ind w:right="567"/>
    </w:pPr>
    <w:rPr>
      <w:b/>
    </w:rPr>
  </w:style>
  <w:style w:type="paragraph" w:styleId="Indholdsfortegnelse2">
    <w:name w:val="toc 2"/>
    <w:basedOn w:val="Normal"/>
    <w:next w:val="Normal"/>
    <w:uiPriority w:val="39"/>
    <w:rsid w:val="00802BB4"/>
    <w:pPr>
      <w:tabs>
        <w:tab w:val="right" w:leader="dot" w:pos="7655"/>
      </w:tabs>
      <w:ind w:left="284" w:right="567"/>
    </w:pPr>
  </w:style>
  <w:style w:type="paragraph" w:styleId="Sidefod">
    <w:name w:val="footer"/>
    <w:basedOn w:val="Normal"/>
    <w:link w:val="SidefodTegn"/>
    <w:semiHidden/>
    <w:rsid w:val="00802BB4"/>
    <w:pPr>
      <w:tabs>
        <w:tab w:val="center" w:pos="4819"/>
        <w:tab w:val="right" w:pos="9638"/>
      </w:tabs>
    </w:pPr>
  </w:style>
  <w:style w:type="character" w:customStyle="1" w:styleId="SidefodTegn">
    <w:name w:val="Sidefod Tegn"/>
    <w:basedOn w:val="Standardskrifttypeiafsnit"/>
    <w:link w:val="Sidefod"/>
    <w:semiHidden/>
    <w:rsid w:val="00802BB4"/>
    <w:rPr>
      <w:rFonts w:eastAsia="Times New Roman" w:cs="Times New Roman"/>
      <w:szCs w:val="24"/>
    </w:rPr>
  </w:style>
  <w:style w:type="paragraph" w:styleId="Sidehoved">
    <w:name w:val="header"/>
    <w:basedOn w:val="Normal"/>
    <w:link w:val="SidehovedTegn"/>
    <w:rsid w:val="00802BB4"/>
    <w:pPr>
      <w:tabs>
        <w:tab w:val="center" w:pos="4819"/>
        <w:tab w:val="right" w:pos="9638"/>
      </w:tabs>
      <w:spacing w:line="180" w:lineRule="atLeast"/>
    </w:pPr>
    <w:rPr>
      <w:sz w:val="14"/>
    </w:rPr>
  </w:style>
  <w:style w:type="character" w:customStyle="1" w:styleId="SidehovedTegn">
    <w:name w:val="Sidehoved Tegn"/>
    <w:basedOn w:val="Standardskrifttypeiafsnit"/>
    <w:link w:val="Sidehoved"/>
    <w:rsid w:val="00802BB4"/>
    <w:rPr>
      <w:rFonts w:eastAsia="Times New Roman" w:cs="Times New Roman"/>
      <w:sz w:val="14"/>
      <w:szCs w:val="24"/>
    </w:rPr>
  </w:style>
  <w:style w:type="character" w:styleId="Hyperlink">
    <w:name w:val="Hyperlink"/>
    <w:basedOn w:val="Standardskrifttypeiafsnit"/>
    <w:uiPriority w:val="99"/>
    <w:rsid w:val="00802BB4"/>
    <w:rPr>
      <w:rFonts w:ascii="Verdana" w:hAnsi="Verdana"/>
      <w:color w:val="003366"/>
      <w:sz w:val="20"/>
      <w:u w:val="single"/>
    </w:rPr>
  </w:style>
  <w:style w:type="paragraph" w:customStyle="1" w:styleId="Normal-Numbering">
    <w:name w:val="Normal - Numbering"/>
    <w:basedOn w:val="Normal"/>
    <w:rsid w:val="00802BB4"/>
    <w:pPr>
      <w:numPr>
        <w:numId w:val="1"/>
      </w:numPr>
    </w:pPr>
  </w:style>
  <w:style w:type="paragraph" w:customStyle="1" w:styleId="Template-Date">
    <w:name w:val="Template - Date"/>
    <w:basedOn w:val="Normal"/>
    <w:semiHidden/>
    <w:rsid w:val="00802BB4"/>
    <w:pPr>
      <w:suppressAutoHyphens/>
      <w:spacing w:line="200" w:lineRule="atLeast"/>
    </w:pPr>
    <w:rPr>
      <w:noProof/>
      <w:sz w:val="15"/>
    </w:rPr>
  </w:style>
  <w:style w:type="paragraph" w:styleId="Listeafsnit">
    <w:name w:val="List Paragraph"/>
    <w:basedOn w:val="Normal"/>
    <w:link w:val="ListeafsnitTegn"/>
    <w:uiPriority w:val="34"/>
    <w:qFormat/>
    <w:rsid w:val="00802BB4"/>
    <w:pPr>
      <w:spacing w:after="200" w:line="276" w:lineRule="auto"/>
      <w:ind w:left="720"/>
      <w:contextualSpacing/>
    </w:pPr>
    <w:rPr>
      <w:rFonts w:eastAsia="Calibri"/>
      <w:szCs w:val="22"/>
    </w:rPr>
  </w:style>
  <w:style w:type="table" w:customStyle="1" w:styleId="Lysskygge1">
    <w:name w:val="Lys skygge1"/>
    <w:basedOn w:val="Tabel-Normal"/>
    <w:uiPriority w:val="60"/>
    <w:rsid w:val="00802BB4"/>
    <w:pPr>
      <w:spacing w:after="0" w:line="240" w:lineRule="auto"/>
    </w:pPr>
    <w:rPr>
      <w:rFonts w:ascii="Times New Roman" w:eastAsia="Times New Roman" w:hAnsi="Times New Roman" w:cs="Times New Roman"/>
      <w:color w:val="000000" w:themeColor="text1" w:themeShade="BF"/>
      <w:szCs w:val="20"/>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FD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E7DD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7DD7"/>
    <w:rPr>
      <w:rFonts w:ascii="Segoe UI" w:eastAsia="Times New Roman" w:hAnsi="Segoe UI" w:cs="Segoe UI"/>
      <w:sz w:val="18"/>
      <w:szCs w:val="18"/>
    </w:rPr>
  </w:style>
  <w:style w:type="character" w:styleId="Kommentarhenvisning">
    <w:name w:val="annotation reference"/>
    <w:basedOn w:val="Standardskrifttypeiafsnit"/>
    <w:semiHidden/>
    <w:unhideWhenUsed/>
    <w:rsid w:val="00012DE3"/>
    <w:rPr>
      <w:sz w:val="16"/>
      <w:szCs w:val="16"/>
    </w:rPr>
  </w:style>
  <w:style w:type="paragraph" w:styleId="Kommentartekst">
    <w:name w:val="annotation text"/>
    <w:basedOn w:val="Normal"/>
    <w:link w:val="KommentartekstTegn"/>
    <w:semiHidden/>
    <w:unhideWhenUsed/>
    <w:rsid w:val="00012DE3"/>
    <w:rPr>
      <w:szCs w:val="20"/>
    </w:rPr>
  </w:style>
  <w:style w:type="character" w:customStyle="1" w:styleId="KommentartekstTegn">
    <w:name w:val="Kommentartekst Tegn"/>
    <w:basedOn w:val="Standardskrifttypeiafsnit"/>
    <w:link w:val="Kommentartekst"/>
    <w:semiHidden/>
    <w:rsid w:val="00012DE3"/>
    <w:rPr>
      <w:rFonts w:eastAsia="Times New Roman" w:cs="Times New Roman"/>
      <w:szCs w:val="20"/>
    </w:rPr>
  </w:style>
  <w:style w:type="paragraph" w:styleId="Kommentaremne">
    <w:name w:val="annotation subject"/>
    <w:basedOn w:val="Kommentartekst"/>
    <w:next w:val="Kommentartekst"/>
    <w:link w:val="KommentaremneTegn"/>
    <w:uiPriority w:val="99"/>
    <w:semiHidden/>
    <w:unhideWhenUsed/>
    <w:rsid w:val="00FB35F9"/>
    <w:rPr>
      <w:b/>
      <w:bCs/>
    </w:rPr>
  </w:style>
  <w:style w:type="character" w:customStyle="1" w:styleId="KommentaremneTegn">
    <w:name w:val="Kommentaremne Tegn"/>
    <w:basedOn w:val="KommentartekstTegn"/>
    <w:link w:val="Kommentaremne"/>
    <w:uiPriority w:val="99"/>
    <w:semiHidden/>
    <w:rsid w:val="00FB35F9"/>
    <w:rPr>
      <w:rFonts w:eastAsia="Times New Roman" w:cs="Times New Roman"/>
      <w:b/>
      <w:bCs/>
      <w:szCs w:val="20"/>
    </w:rPr>
  </w:style>
  <w:style w:type="character" w:customStyle="1" w:styleId="ListeafsnitTegn">
    <w:name w:val="Listeafsnit Tegn"/>
    <w:link w:val="Listeafsnit"/>
    <w:uiPriority w:val="34"/>
    <w:rsid w:val="00690D5B"/>
    <w:rPr>
      <w:rFonts w:eastAsia="Calibri" w:cs="Times New Roman"/>
    </w:rPr>
  </w:style>
  <w:style w:type="character" w:styleId="Fremhv">
    <w:name w:val="Emphasis"/>
    <w:basedOn w:val="Standardskrifttypeiafsnit"/>
    <w:uiPriority w:val="20"/>
    <w:qFormat/>
    <w:rsid w:val="00D65BB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131">
      <w:bodyDiv w:val="1"/>
      <w:marLeft w:val="0"/>
      <w:marRight w:val="0"/>
      <w:marTop w:val="0"/>
      <w:marBottom w:val="0"/>
      <w:divBdr>
        <w:top w:val="none" w:sz="0" w:space="0" w:color="auto"/>
        <w:left w:val="none" w:sz="0" w:space="0" w:color="auto"/>
        <w:bottom w:val="none" w:sz="0" w:space="0" w:color="auto"/>
        <w:right w:val="none" w:sz="0" w:space="0" w:color="auto"/>
      </w:divBdr>
    </w:div>
    <w:div w:id="256912000">
      <w:bodyDiv w:val="1"/>
      <w:marLeft w:val="0"/>
      <w:marRight w:val="0"/>
      <w:marTop w:val="0"/>
      <w:marBottom w:val="0"/>
      <w:divBdr>
        <w:top w:val="none" w:sz="0" w:space="0" w:color="auto"/>
        <w:left w:val="none" w:sz="0" w:space="0" w:color="auto"/>
        <w:bottom w:val="none" w:sz="0" w:space="0" w:color="auto"/>
        <w:right w:val="none" w:sz="0" w:space="0" w:color="auto"/>
      </w:divBdr>
    </w:div>
    <w:div w:id="982351105">
      <w:bodyDiv w:val="1"/>
      <w:marLeft w:val="0"/>
      <w:marRight w:val="0"/>
      <w:marTop w:val="0"/>
      <w:marBottom w:val="0"/>
      <w:divBdr>
        <w:top w:val="none" w:sz="0" w:space="0" w:color="auto"/>
        <w:left w:val="none" w:sz="0" w:space="0" w:color="auto"/>
        <w:bottom w:val="none" w:sz="0" w:space="0" w:color="auto"/>
        <w:right w:val="none" w:sz="0" w:space="0" w:color="auto"/>
      </w:divBdr>
    </w:div>
    <w:div w:id="1035350478">
      <w:bodyDiv w:val="1"/>
      <w:marLeft w:val="0"/>
      <w:marRight w:val="0"/>
      <w:marTop w:val="0"/>
      <w:marBottom w:val="0"/>
      <w:divBdr>
        <w:top w:val="none" w:sz="0" w:space="0" w:color="auto"/>
        <w:left w:val="none" w:sz="0" w:space="0" w:color="auto"/>
        <w:bottom w:val="none" w:sz="0" w:space="0" w:color="auto"/>
        <w:right w:val="none" w:sz="0" w:space="0" w:color="auto"/>
      </w:divBdr>
    </w:div>
    <w:div w:id="1036732264">
      <w:bodyDiv w:val="1"/>
      <w:marLeft w:val="0"/>
      <w:marRight w:val="0"/>
      <w:marTop w:val="0"/>
      <w:marBottom w:val="0"/>
      <w:divBdr>
        <w:top w:val="none" w:sz="0" w:space="0" w:color="auto"/>
        <w:left w:val="none" w:sz="0" w:space="0" w:color="auto"/>
        <w:bottom w:val="none" w:sz="0" w:space="0" w:color="auto"/>
        <w:right w:val="none" w:sz="0" w:space="0" w:color="auto"/>
      </w:divBdr>
    </w:div>
    <w:div w:id="1429303835">
      <w:bodyDiv w:val="1"/>
      <w:marLeft w:val="0"/>
      <w:marRight w:val="0"/>
      <w:marTop w:val="0"/>
      <w:marBottom w:val="0"/>
      <w:divBdr>
        <w:top w:val="none" w:sz="0" w:space="0" w:color="auto"/>
        <w:left w:val="none" w:sz="0" w:space="0" w:color="auto"/>
        <w:bottom w:val="none" w:sz="0" w:space="0" w:color="auto"/>
        <w:right w:val="none" w:sz="0" w:space="0" w:color="auto"/>
      </w:divBdr>
    </w:div>
    <w:div w:id="1541823435">
      <w:bodyDiv w:val="1"/>
      <w:marLeft w:val="0"/>
      <w:marRight w:val="0"/>
      <w:marTop w:val="0"/>
      <w:marBottom w:val="0"/>
      <w:divBdr>
        <w:top w:val="none" w:sz="0" w:space="0" w:color="auto"/>
        <w:left w:val="none" w:sz="0" w:space="0" w:color="auto"/>
        <w:bottom w:val="none" w:sz="0" w:space="0" w:color="auto"/>
        <w:right w:val="none" w:sz="0" w:space="0" w:color="auto"/>
      </w:divBdr>
    </w:div>
    <w:div w:id="18371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oghavn.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yoghavn.dk"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B99DC6-8452-4129-91D4-1FC026A5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4207</Words>
  <Characters>25665</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Del 1_Udkast til COP 2018_7.0</vt:lpstr>
    </vt:vector>
  </TitlesOfParts>
  <Company>Københavns Havn A/S</Company>
  <LinksUpToDate>false</LinksUpToDate>
  <CharactersWithSpaces>29813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1_Udkast til COP 2018_7.0</dc:title>
  <dc:creator>Heidi Olsen</dc:creator>
  <cp:lastModifiedBy>Heidi Olsen</cp:lastModifiedBy>
  <cp:revision>2</cp:revision>
  <cp:lastPrinted>2019-05-02T10:25:00Z</cp:lastPrinted>
  <dcterms:created xsi:type="dcterms:W3CDTF">2019-05-16T10:32:00Z</dcterms:created>
  <dcterms:modified xsi:type="dcterms:W3CDTF">2019-05-16T10:32:00Z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r">
    <vt:lpwstr>D-20190509-071882</vt:lpwstr>
  </property>
  <property fmtid="{D5CDD505-2E9C-101B-9397-08002B2CF9AE}" pid="3" name="DN_d_modtager">
    <vt:lpwstr/>
  </property>
  <property fmtid="{D5CDD505-2E9C-101B-9397-08002B2CF9AE}" pid="4" name="DN_d_titel">
    <vt:lpwstr>Del 1_Udkast til COP 2018_7.0</vt:lpwstr>
  </property>
  <property fmtid="{D5CDD505-2E9C-101B-9397-08002B2CF9AE}" pid="5" name="DN_d_underskriver_fuldenavn">
    <vt:lpwstr/>
  </property>
  <property fmtid="{D5CDD505-2E9C-101B-9397-08002B2CF9AE}" pid="6" name="DN_d_underskriver_titel">
    <vt:lpwstr/>
  </property>
  <property fmtid="{D5CDD505-2E9C-101B-9397-08002B2CF9AE}" pid="7" name="DN_d_underskriver_mail">
    <vt:lpwstr/>
  </property>
  <property fmtid="{D5CDD505-2E9C-101B-9397-08002B2CF9AE}" pid="8" name="DN_d_underskriver_initialer">
    <vt:lpwstr/>
  </property>
  <property fmtid="{D5CDD505-2E9C-101B-9397-08002B2CF9AE}" pid="9" name="DN_d_brevdato">
    <vt:lpwstr/>
  </property>
  <property fmtid="{D5CDD505-2E9C-101B-9397-08002B2CF9AE}" pid="10" name="DN_d_dato">
    <vt:lpwstr/>
  </property>
  <property fmtid="{D5CDD505-2E9C-101B-9397-08002B2CF9AE}" pid="11" name="DN_d_eksterneparter1">
    <vt:lpwstr/>
  </property>
  <property fmtid="{D5CDD505-2E9C-101B-9397-08002B2CF9AE}" pid="12" name="DN_d_eksterneparter2">
    <vt:lpwstr/>
  </property>
  <property fmtid="{D5CDD505-2E9C-101B-9397-08002B2CF9AE}" pid="13" name="DN_d_eksterneparter3">
    <vt:lpwstr/>
  </property>
  <property fmtid="{D5CDD505-2E9C-101B-9397-08002B2CF9AE}" pid="14" name="DN_d_eksterneparter4">
    <vt:lpwstr/>
  </property>
  <property fmtid="{D5CDD505-2E9C-101B-9397-08002B2CF9AE}" pid="15" name="DN_d_eksterneparter5">
    <vt:lpwstr/>
  </property>
  <property fmtid="{D5CDD505-2E9C-101B-9397-08002B2CF9AE}" pid="16" name="DN_d_interneparter1">
    <vt:lpwstr/>
  </property>
  <property fmtid="{D5CDD505-2E9C-101B-9397-08002B2CF9AE}" pid="17" name="DN_d_LetterDate">
    <vt:lpwstr/>
  </property>
  <property fmtid="{D5CDD505-2E9C-101B-9397-08002B2CF9AE}" pid="18" name="DN_d_interneparter2">
    <vt:lpwstr/>
  </property>
  <property fmtid="{D5CDD505-2E9C-101B-9397-08002B2CF9AE}" pid="19" name="DN_d_interneparter3">
    <vt:lpwstr/>
  </property>
  <property fmtid="{D5CDD505-2E9C-101B-9397-08002B2CF9AE}" pid="20" name="DN_d_interneparter4">
    <vt:lpwstr/>
  </property>
  <property fmtid="{D5CDD505-2E9C-101B-9397-08002B2CF9AE}" pid="21" name="DN_d_interneparter5">
    <vt:lpwstr/>
  </property>
  <property fmtid="{D5CDD505-2E9C-101B-9397-08002B2CF9AE}" pid="22" name="DN_d_afsender1">
    <vt:lpwstr/>
  </property>
  <property fmtid="{D5CDD505-2E9C-101B-9397-08002B2CF9AE}" pid="23" name="DN_d_interneparter6">
    <vt:lpwstr/>
  </property>
  <property fmtid="{D5CDD505-2E9C-101B-9397-08002B2CF9AE}" pid="24" name="DN_d_interneparter7">
    <vt:lpwstr/>
  </property>
  <property fmtid="{D5CDD505-2E9C-101B-9397-08002B2CF9AE}" pid="25" name="DN_d_interneparter8">
    <vt:lpwstr/>
  </property>
  <property fmtid="{D5CDD505-2E9C-101B-9397-08002B2CF9AE}" pid="26" name="DN_d_afsender2">
    <vt:lpwstr/>
  </property>
  <property fmtid="{D5CDD505-2E9C-101B-9397-08002B2CF9AE}" pid="27" name="DN_d_afsender3">
    <vt:lpwstr/>
  </property>
  <property fmtid="{D5CDD505-2E9C-101B-9397-08002B2CF9AE}" pid="28" name="DN_d_interneparter9">
    <vt:lpwstr/>
  </property>
  <property fmtid="{D5CDD505-2E9C-101B-9397-08002B2CF9AE}" pid="29" name="DN_d_interneparter10">
    <vt:lpwstr/>
  </property>
  <property fmtid="{D5CDD505-2E9C-101B-9397-08002B2CF9AE}" pid="30" name="DN_d_interneparter11">
    <vt:lpwstr/>
  </property>
  <property fmtid="{D5CDD505-2E9C-101B-9397-08002B2CF9AE}" pid="31" name="DN_d_afsender4">
    <vt:lpwstr/>
  </property>
  <property fmtid="{D5CDD505-2E9C-101B-9397-08002B2CF9AE}" pid="32" name="DN_d_interneparter12">
    <vt:lpwstr/>
  </property>
  <property fmtid="{D5CDD505-2E9C-101B-9397-08002B2CF9AE}" pid="33" name="DN_d_interneparter13">
    <vt:lpwstr/>
  </property>
  <property fmtid="{D5CDD505-2E9C-101B-9397-08002B2CF9AE}" pid="34" name="DN_d_interneparter14">
    <vt:lpwstr/>
  </property>
  <property fmtid="{D5CDD505-2E9C-101B-9397-08002B2CF9AE}" pid="35" name="DN_d_interneparter15">
    <vt:lpwstr/>
  </property>
  <property fmtid="{D5CDD505-2E9C-101B-9397-08002B2CF9AE}" pid="36" name="DN_d_afsender5">
    <vt:lpwstr/>
  </property>
  <property fmtid="{D5CDD505-2E9C-101B-9397-08002B2CF9AE}" pid="37" name="DN_d_part">
    <vt:lpwstr/>
  </property>
  <property fmtid="{D5CDD505-2E9C-101B-9397-08002B2CF9AE}" pid="38" name="DN_d_parter_interne">
    <vt:lpwstr>Heidi Olsen(Responsible)</vt:lpwstr>
  </property>
  <property fmtid="{D5CDD505-2E9C-101B-9397-08002B2CF9AE}" pid="39" name="DN_d_parter_eksterne">
    <vt:lpwstr/>
  </property>
  <property fmtid="{D5CDD505-2E9C-101B-9397-08002B2CF9AE}" pid="40" name="DN_d_init">
    <vt:lpwstr/>
  </property>
  <property fmtid="{D5CDD505-2E9C-101B-9397-08002B2CF9AE}" pid="41" name="DN_d_emne">
    <vt:lpwstr/>
  </property>
  <property fmtid="{D5CDD505-2E9C-101B-9397-08002B2CF9AE}" pid="42" name="DN_d_referent">
    <vt:lpwstr/>
  </property>
  <property fmtid="{D5CDD505-2E9C-101B-9397-08002B2CF9AE}" pid="43" name="DN_d_ordstyrer">
    <vt:lpwstr/>
  </property>
  <property fmtid="{D5CDD505-2E9C-101B-9397-08002B2CF9AE}" pid="44" name="DN_d_moededato">
    <vt:lpwstr/>
  </property>
  <property fmtid="{D5CDD505-2E9C-101B-9397-08002B2CF9AE}" pid="45" name="DN_d_underskriver_mobil">
    <vt:lpwstr/>
  </property>
  <property fmtid="{D5CDD505-2E9C-101B-9397-08002B2CF9AE}" pid="46" name="DN_d_underskriver_telefon">
    <vt:lpwstr/>
  </property>
  <property fmtid="{D5CDD505-2E9C-101B-9397-08002B2CF9AE}" pid="47" name="DN_d_dato_periodestart">
    <vt:lpwstr/>
  </property>
  <property fmtid="{D5CDD505-2E9C-101B-9397-08002B2CF9AE}" pid="48" name="DN_d_dato_periodeslut">
    <vt:lpwstr/>
  </property>
  <property fmtid="{D5CDD505-2E9C-101B-9397-08002B2CF9AE}" pid="49" name="DN_d_udsendelsesdato">
    <vt:lpwstr/>
  </property>
  <property fmtid="{D5CDD505-2E9C-101B-9397-08002B2CF9AE}" pid="50" name="DN_d_cvr-nr.">
    <vt:lpwstr/>
  </property>
  <property fmtid="{D5CDD505-2E9C-101B-9397-08002B2CF9AE}" pid="51" name="DN_d_matr.nr.">
    <vt:lpwstr/>
  </property>
  <property fmtid="{D5CDD505-2E9C-101B-9397-08002B2CF9AE}" pid="52" name="DN_d_firmanavn">
    <vt:lpwstr/>
  </property>
  <property fmtid="{D5CDD505-2E9C-101B-9397-08002B2CF9AE}" pid="53" name="DN_d_opfølgningfra">
    <vt:lpwstr/>
  </property>
  <property fmtid="{D5CDD505-2E9C-101B-9397-08002B2CF9AE}" pid="54" name="DN_d_dagsordenformøde">
    <vt:lpwstr/>
  </property>
  <property fmtid="{D5CDD505-2E9C-101B-9397-08002B2CF9AE}" pid="55" name="DN_d_fraværende">
    <vt:lpwstr/>
  </property>
  <property fmtid="{D5CDD505-2E9C-101B-9397-08002B2CF9AE}" pid="56" name="DN_d_afsender">
    <vt:lpwstr/>
  </property>
  <property fmtid="{D5CDD505-2E9C-101B-9397-08002B2CF9AE}" pid="57" name="DN_d_tidsrum">
    <vt:lpwstr/>
  </property>
  <property fmtid="{D5CDD505-2E9C-101B-9397-08002B2CF9AE}" pid="58" name="DN_d_feltnr">
    <vt:lpwstr/>
  </property>
  <property fmtid="{D5CDD505-2E9C-101B-9397-08002B2CF9AE}" pid="59" name="DN_d_ringerigen">
    <vt:lpwstr/>
  </property>
  <property fmtid="{D5CDD505-2E9C-101B-9397-08002B2CF9AE}" pid="60" name="DN_d_ønskeropring">
    <vt:lpwstr/>
  </property>
  <property fmtid="{D5CDD505-2E9C-101B-9397-08002B2CF9AE}" pid="61" name="DN_d_telefonnr">
    <vt:lpwstr/>
  </property>
  <property fmtid="{D5CDD505-2E9C-101B-9397-08002B2CF9AE}" pid="62" name="DN_d_beskrivelsetelefonbesked">
    <vt:lpwstr/>
  </property>
  <property fmtid="{D5CDD505-2E9C-101B-9397-08002B2CF9AE}" pid="63" name="DN_d_tilansvarligtelefonbesked">
    <vt:lpwstr/>
  </property>
  <property fmtid="{D5CDD505-2E9C-101B-9397-08002B2CF9AE}" pid="64" name="DN_d_frakundeborgertelefonbesked">
    <vt:lpwstr/>
  </property>
  <property fmtid="{D5CDD505-2E9C-101B-9397-08002B2CF9AE}" pid="65" name="DN_d_datoforhenvendelsetelefonbesked">
    <vt:lpwstr/>
  </property>
  <property fmtid="{D5CDD505-2E9C-101B-9397-08002B2CF9AE}" pid="66" name="DN_d_dagsordenspkt_PK">
    <vt:lpwstr/>
  </property>
  <property fmtid="{D5CDD505-2E9C-101B-9397-08002B2CF9AE}" pid="67" name="DN_d_1.Overskrift_PK">
    <vt:lpwstr/>
  </property>
  <property fmtid="{D5CDD505-2E9C-101B-9397-08002B2CF9AE}" pid="68" name="DN_d_2.Overskrift_PK">
    <vt:lpwstr/>
  </property>
  <property fmtid="{D5CDD505-2E9C-101B-9397-08002B2CF9AE}" pid="69" name="DN_d_3.Overskrift_PK">
    <vt:lpwstr/>
  </property>
  <property fmtid="{D5CDD505-2E9C-101B-9397-08002B2CF9AE}" pid="70" name="DN_d_4.Indstilling_PK">
    <vt:lpwstr/>
  </property>
  <property fmtid="{D5CDD505-2E9C-101B-9397-08002B2CF9AE}" pid="71" name="DN_d_Emne_PK">
    <vt:lpwstr/>
  </property>
  <property fmtid="{D5CDD505-2E9C-101B-9397-08002B2CF9AE}" pid="72" name="DN_d_sidstebestyrelsesmøde">
    <vt:lpwstr/>
  </property>
  <property fmtid="{D5CDD505-2E9C-101B-9397-08002B2CF9AE}" pid="73" name="DN_d_InterneParterNotat">
    <vt:lpwstr/>
  </property>
  <property fmtid="{D5CDD505-2E9C-101B-9397-08002B2CF9AE}" pid="74" name="DN_d_EksterneParterNotat">
    <vt:lpwstr/>
  </property>
  <property fmtid="{D5CDD505-2E9C-101B-9397-08002B2CF9AE}" pid="75" name="DN_d_ParterDagsorden">
    <vt:lpwstr>Heidi Olsen(Responsible)</vt:lpwstr>
  </property>
  <property fmtid="{D5CDD505-2E9C-101B-9397-08002B2CF9AE}" pid="76" name="DN_d_AnsvarligEmail">
    <vt:lpwstr>HO@byoghavn.dk</vt:lpwstr>
  </property>
  <property fmtid="{D5CDD505-2E9C-101B-9397-08002B2CF9AE}" pid="77" name="DN_d_lokation">
    <vt:lpwstr/>
  </property>
  <property fmtid="{D5CDD505-2E9C-101B-9397-08002B2CF9AE}" pid="78" name="DN_d_periode_start">
    <vt:lpwstr/>
  </property>
  <property fmtid="{D5CDD505-2E9C-101B-9397-08002B2CF9AE}" pid="79" name="DN_d_periode_slut">
    <vt:lpwstr/>
  </property>
  <property fmtid="{D5CDD505-2E9C-101B-9397-08002B2CF9AE}" pid="80" name="DN_d_modtager_kundenr">
    <vt:lpwstr/>
  </property>
  <property fmtid="{D5CDD505-2E9C-101B-9397-08002B2CF9AE}" pid="81" name="DN_d_KundeAdresse">
    <vt:lpwstr/>
  </property>
  <property fmtid="{D5CDD505-2E9C-101B-9397-08002B2CF9AE}" pid="82" name="DN_d_KundeNummer">
    <vt:lpwstr/>
  </property>
  <property fmtid="{D5CDD505-2E9C-101B-9397-08002B2CF9AE}" pid="83" name="DN_d_AnsvarligInitial">
    <vt:lpwstr>ho</vt:lpwstr>
  </property>
  <property fmtid="{D5CDD505-2E9C-101B-9397-08002B2CF9AE}" pid="84" name="DN_d_EANNummer">
    <vt:lpwstr/>
  </property>
  <property fmtid="{D5CDD505-2E9C-101B-9397-08002B2CF9AE}" pid="85" name="DN_d_KundeNavn">
    <vt:lpwstr/>
  </property>
  <property fmtid="{D5CDD505-2E9C-101B-9397-08002B2CF9AE}" pid="86" name="DN_d_FaktursSagsnummer">
    <vt:lpwstr/>
  </property>
  <property fmtid="{D5CDD505-2E9C-101B-9397-08002B2CF9AE}" pid="87" name="DN_d_ProjektNummer">
    <vt:lpwstr/>
  </property>
  <property fmtid="{D5CDD505-2E9C-101B-9397-08002B2CF9AE}" pid="88" name="DN_d_OprettetDato">
    <vt:lpwstr>09-05-2019</vt:lpwstr>
  </property>
  <property fmtid="{D5CDD505-2E9C-101B-9397-08002B2CF9AE}" pid="89" name="DN_d_koeber">
    <vt:lpwstr/>
  </property>
  <property fmtid="{D5CDD505-2E9C-101B-9397-08002B2CF9AE}" pid="90" name="DN_d_cvr-nr_modtager">
    <vt:lpwstr/>
  </property>
  <property fmtid="{D5CDD505-2E9C-101B-9397-08002B2CF9AE}" pid="91" name="DN_d_OprettetAfNavn">
    <vt:lpwstr>Heidi Olsen</vt:lpwstr>
  </property>
  <property fmtid="{D5CDD505-2E9C-101B-9397-08002B2CF9AE}" pid="92" name="DN_d_OprettetAfTitel">
    <vt:lpwstr>Chef for HR, IT &amp; Administration/Dir. of HR, IT &amp; Administration</vt:lpwstr>
  </property>
  <property fmtid="{D5CDD505-2E9C-101B-9397-08002B2CF9AE}" pid="93" name="DN_s_sagsnr">
    <vt:lpwstr>S-20180227-0350</vt:lpwstr>
  </property>
  <property fmtid="{D5CDD505-2E9C-101B-9397-08002B2CF9AE}" pid="94" name="DN_S_Ansvarlig_Fuldenavn">
    <vt:lpwstr>Tine Kirk Pedersen</vt:lpwstr>
  </property>
  <property fmtid="{D5CDD505-2E9C-101B-9397-08002B2CF9AE}" pid="95" name="DN_S_Ansvarlig_Titel">
    <vt:lpwstr>Konsulent</vt:lpwstr>
  </property>
  <property fmtid="{D5CDD505-2E9C-101B-9397-08002B2CF9AE}" pid="96" name="DN_S_Ansvarlig_Mail">
    <vt:lpwstr>TKP@byoghavn.dk</vt:lpwstr>
  </property>
  <property fmtid="{D5CDD505-2E9C-101B-9397-08002B2CF9AE}" pid="97" name="DN_S_Ansvarlig_tlf">
    <vt:lpwstr/>
  </property>
  <property fmtid="{D5CDD505-2E9C-101B-9397-08002B2CF9AE}" pid="98" name="DN_S_Kunde">
    <vt:lpwstr/>
  </property>
  <property fmtid="{D5CDD505-2E9C-101B-9397-08002B2CF9AE}" pid="99" name="DN_S_TourKontakt">
    <vt:lpwstr/>
  </property>
  <property fmtid="{D5CDD505-2E9C-101B-9397-08002B2CF9AE}" pid="100" name="DN_S_brevdato">
    <vt:lpwstr/>
  </property>
  <property fmtid="{D5CDD505-2E9C-101B-9397-08002B2CF9AE}" pid="101" name="DN_S_Tidsrum">
    <vt:lpwstr/>
  </property>
  <property fmtid="{D5CDD505-2E9C-101B-9397-08002B2CF9AE}" pid="102" name="DN_S_GuideFuldeNavn">
    <vt:lpwstr/>
  </property>
  <property fmtid="{D5CDD505-2E9C-101B-9397-08002B2CF9AE}" pid="103" name="DN_S_GuideTelefon">
    <vt:lpwstr/>
  </property>
  <property fmtid="{D5CDD505-2E9C-101B-9397-08002B2CF9AE}" pid="104" name="DN_S_MoedestedTour">
    <vt:lpwstr/>
  </property>
  <property fmtid="{D5CDD505-2E9C-101B-9397-08002B2CF9AE}" pid="105" name="DN_S_Deltagerantal">
    <vt:lpwstr/>
  </property>
  <property fmtid="{D5CDD505-2E9C-101B-9397-08002B2CF9AE}" pid="106" name="DN_S_KontaktpersonFuldeNavn">
    <vt:lpwstr/>
  </property>
  <property fmtid="{D5CDD505-2E9C-101B-9397-08002B2CF9AE}" pid="107" name="DN_S_KontaktpersonTelefon">
    <vt:lpwstr/>
  </property>
  <property fmtid="{D5CDD505-2E9C-101B-9397-08002B2CF9AE}" pid="108" name="DN_S_KontakpersonEmail">
    <vt:lpwstr/>
  </property>
  <property fmtid="{D5CDD505-2E9C-101B-9397-08002B2CF9AE}" pid="109" name="DN_S_GuideEmail">
    <vt:lpwstr/>
  </property>
  <property fmtid="{D5CDD505-2E9C-101B-9397-08002B2CF9AE}" pid="110" name="DN_S_BookingTransport">
    <vt:lpwstr/>
  </property>
  <property fmtid="{D5CDD505-2E9C-101B-9397-08002B2CF9AE}" pid="111" name="DS_S_Sprog">
    <vt:lpwstr/>
  </property>
  <property fmtid="{D5CDD505-2E9C-101B-9397-08002B2CF9AE}" pid="112" name="DN_S_DatoTour">
    <vt:lpwstr/>
  </property>
  <property fmtid="{D5CDD505-2E9C-101B-9397-08002B2CF9AE}" pid="113" name="DS_S_Turpris">
    <vt:lpwstr/>
  </property>
  <property fmtid="{D5CDD505-2E9C-101B-9397-08002B2CF9AE}" pid="114" name="Author">
    <vt:lpwstr>Heidi Olsen</vt:lpwstr>
  </property>
  <property fmtid="{D5CDD505-2E9C-101B-9397-08002B2CF9AE}" pid="115" name="Title">
    <vt:lpwstr>Del 1_Udkast til COP 2018_7.0</vt:lpwstr>
  </property>
  <property fmtid="{D5CDD505-2E9C-101B-9397-08002B2CF9AE}" pid="116" name="DN_D_DokumentPubliceretDato">
    <vt:lpwstr>9. maj 2019</vt:lpwstr>
  </property>
  <property fmtid="{D5CDD505-2E9C-101B-9397-08002B2CF9AE}" pid="117" name="DN_D_DokumentSidstRettetDato">
    <vt:lpwstr>9. maj 2019</vt:lpwstr>
  </property>
  <property fmtid="{D5CDD505-2E9C-101B-9397-08002B2CF9AE}" pid="118" name="DN_D_DokumentSidstRettetEngelsk">
    <vt:lpwstr>09 May 2019</vt:lpwstr>
  </property>
  <property fmtid="{D5CDD505-2E9C-101B-9397-08002B2CF9AE}" pid="119" name="DN_D_AnsvarligPMPemail">
    <vt:lpwstr/>
  </property>
  <property fmtid="{D5CDD505-2E9C-101B-9397-08002B2CF9AE}" pid="120" name="DN_D_AnsvarligPMPtelefon">
    <vt:lpwstr/>
  </property>
  <property fmtid="{D5CDD505-2E9C-101B-9397-08002B2CF9AE}" pid="121" name="DN_D_Aktionsplan">
    <vt:lpwstr/>
  </property>
  <property fmtid="{D5CDD505-2E9C-101B-9397-08002B2CF9AE}" pid="122" name="DN_D_KonsekvensAfRisiko">
    <vt:lpwstr/>
  </property>
  <property fmtid="{D5CDD505-2E9C-101B-9397-08002B2CF9AE}" pid="123" name="DN_D_Maalingsmetode">
    <vt:lpwstr/>
  </property>
  <property fmtid="{D5CDD505-2E9C-101B-9397-08002B2CF9AE}" pid="124" name="DN_D_OensketStatus">
    <vt:lpwstr/>
  </property>
  <property fmtid="{D5CDD505-2E9C-101B-9397-08002B2CF9AE}" pid="125" name="DN_D_RisikominimerendeTiltag">
    <vt:lpwstr/>
  </property>
  <property fmtid="{D5CDD505-2E9C-101B-9397-08002B2CF9AE}" pid="126" name="DN_D_RisikoPosition">
    <vt:lpwstr/>
  </property>
  <property fmtid="{D5CDD505-2E9C-101B-9397-08002B2CF9AE}" pid="127" name="DN_D_SamtykkeafgiverBy">
    <vt:lpwstr/>
  </property>
  <property fmtid="{D5CDD505-2E9C-101B-9397-08002B2CF9AE}" pid="128" name="DN_D_SamtykkeafgiverFuldeNavn">
    <vt:lpwstr/>
  </property>
  <property fmtid="{D5CDD505-2E9C-101B-9397-08002B2CF9AE}" pid="129" name="DN_D_SamtykkeafgiverGade">
    <vt:lpwstr/>
  </property>
  <property fmtid="{D5CDD505-2E9C-101B-9397-08002B2CF9AE}" pid="130" name="DN_D_SamtykkeafgiverLand">
    <vt:lpwstr/>
  </property>
  <property fmtid="{D5CDD505-2E9C-101B-9397-08002B2CF9AE}" pid="131" name="DN_D_SamtykkeafgiverPostNr">
    <vt:lpwstr/>
  </property>
  <property fmtid="{D5CDD505-2E9C-101B-9397-08002B2CF9AE}" pid="132" name="DN_D_SandsynlighedForRisko">
    <vt:lpwstr/>
  </property>
  <property fmtid="{D5CDD505-2E9C-101B-9397-08002B2CF9AE}" pid="133" name="DN_D_SpoergsmaalSomSkalBesvares">
    <vt:lpwstr/>
  </property>
  <property fmtid="{D5CDD505-2E9C-101B-9397-08002B2CF9AE}" pid="134" name="DN_D_StatusPaaImplementering">
    <vt:lpwstr/>
  </property>
  <property fmtid="{D5CDD505-2E9C-101B-9397-08002B2CF9AE}" pid="135" name="DN_D_Svar">
    <vt:lpwstr/>
  </property>
  <property fmtid="{D5CDD505-2E9C-101B-9397-08002B2CF9AE}" pid="136" name="DN_D_DokumentCurrentMajorVersion">
    <vt:lpwstr>2.0</vt:lpwstr>
  </property>
  <property fmtid="{D5CDD505-2E9C-101B-9397-08002B2CF9AE}" pid="137" name="DN_D_Dokumenttitel">
    <vt:lpwstr>Del 1_Udkast til COP 2018_7.0</vt:lpwstr>
  </property>
  <property fmtid="{D5CDD505-2E9C-101B-9397-08002B2CF9AE}" pid="138" name="DN_D_Dokumentnummer">
    <vt:lpwstr>D-20190509-071882</vt:lpwstr>
  </property>
  <property fmtid="{D5CDD505-2E9C-101B-9397-08002B2CF9AE}" pid="139" name="DN_D_Status">
    <vt:lpwstr>Publiceret</vt:lpwstr>
  </property>
  <property fmtid="{D5CDD505-2E9C-101B-9397-08002B2CF9AE}" pid="140" name="DN_D_Beskrivelse">
    <vt:lpwstr/>
  </property>
  <property fmtid="{D5CDD505-2E9C-101B-9397-08002B2CF9AE}" pid="141" name="DN_D_AnsvarligFuldeNavn">
    <vt:lpwstr>Heidi Olsen</vt:lpwstr>
  </property>
</Properties>
</file>