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B8AF95" w14:textId="5F2009BD" w:rsidR="00FC3103" w:rsidRDefault="00FC3103" w:rsidP="00BE48D6">
      <w:pPr>
        <w:spacing w:after="0" w:line="240" w:lineRule="auto"/>
        <w:ind w:left="-1170"/>
        <w:rPr>
          <w:rFonts w:ascii="Cambria" w:hAnsi="Cambria"/>
        </w:rPr>
      </w:pPr>
    </w:p>
    <w:p w14:paraId="2E349882" w14:textId="77777777" w:rsidR="00FC3103" w:rsidRDefault="00FC3103" w:rsidP="00FC3103">
      <w:pPr>
        <w:spacing w:after="0" w:line="240" w:lineRule="auto"/>
        <w:ind w:right="141"/>
        <w:rPr>
          <w:rFonts w:ascii="Cambria" w:hAnsi="Cambria"/>
        </w:rPr>
      </w:pPr>
    </w:p>
    <w:p w14:paraId="32CB819A" w14:textId="5A75AA15" w:rsidR="00FC3103" w:rsidRDefault="000865B1" w:rsidP="000865B1">
      <w:pPr>
        <w:tabs>
          <w:tab w:val="left" w:pos="3045"/>
        </w:tabs>
        <w:spacing w:after="0" w:line="240" w:lineRule="auto"/>
        <w:ind w:right="141"/>
        <w:rPr>
          <w:rFonts w:ascii="Cambria" w:hAnsi="Cambria"/>
        </w:rPr>
      </w:pPr>
      <w:r>
        <w:rPr>
          <w:rFonts w:ascii="Cambria" w:hAnsi="Cambria"/>
        </w:rPr>
        <w:tab/>
      </w:r>
    </w:p>
    <w:p w14:paraId="4437CAA2" w14:textId="77777777" w:rsidR="00B7793D" w:rsidRDefault="00B7793D" w:rsidP="00B7793D">
      <w:pPr>
        <w:spacing w:after="0" w:line="240" w:lineRule="auto"/>
        <w:jc w:val="right"/>
        <w:rPr>
          <w:rFonts w:ascii="Trebuchet MS" w:hAnsi="Trebuchet MS"/>
        </w:rPr>
      </w:pPr>
    </w:p>
    <w:p w14:paraId="20174C06" w14:textId="38726E3B" w:rsidR="00D63719" w:rsidRPr="003E004E" w:rsidRDefault="003E004E" w:rsidP="00D63719">
      <w:r w:rsidRPr="00A83899">
        <w:rPr>
          <w:b/>
        </w:rPr>
        <w:t>COMUNICACIÓN SOBRE INVOLUCRAMIENTO (COMMUNICATION ON ENGAGEMENT, COE)</w:t>
      </w:r>
    </w:p>
    <w:p w14:paraId="3F52F3ED" w14:textId="52246F61" w:rsidR="003E004E" w:rsidRDefault="003E004E" w:rsidP="003E004E">
      <w:r w:rsidRPr="00A83899">
        <w:t xml:space="preserve">Grupo Ecológico Sierra Gorda </w:t>
      </w:r>
      <w:r>
        <w:t>I.</w:t>
      </w:r>
      <w:r w:rsidRPr="00A83899">
        <w:t>A</w:t>
      </w:r>
      <w:r>
        <w:t>.</w:t>
      </w:r>
      <w:r w:rsidRPr="00A83899">
        <w:t>P</w:t>
      </w:r>
      <w:r>
        <w:t>.</w:t>
      </w:r>
      <w:r w:rsidRPr="00A83899">
        <w:t xml:space="preserve"> </w:t>
      </w:r>
    </w:p>
    <w:p w14:paraId="6C64AA08" w14:textId="77777777" w:rsidR="003E004E" w:rsidRPr="006A6C5B" w:rsidRDefault="003E004E" w:rsidP="003E004E">
      <w:pPr>
        <w:rPr>
          <w:b/>
        </w:rPr>
      </w:pPr>
      <w:r w:rsidRPr="006A6C5B">
        <w:rPr>
          <w:b/>
        </w:rPr>
        <w:t xml:space="preserve">Período cubierto por esta Comunicación sobre Involucramiento </w:t>
      </w:r>
    </w:p>
    <w:p w14:paraId="6CDBD410" w14:textId="55C70232" w:rsidR="003E004E" w:rsidRDefault="003E004E" w:rsidP="003E004E">
      <w:r w:rsidRPr="006A6C5B">
        <w:rPr>
          <w:b/>
        </w:rPr>
        <w:t>Desde</w:t>
      </w:r>
      <w:r w:rsidRPr="00A83899">
        <w:t>: 30 de septiembre de 2016</w:t>
      </w:r>
      <w:r>
        <w:tab/>
      </w:r>
      <w:r>
        <w:tab/>
      </w:r>
      <w:r>
        <w:tab/>
      </w:r>
      <w:r w:rsidRPr="006A6C5B">
        <w:rPr>
          <w:b/>
        </w:rPr>
        <w:t>Hasta</w:t>
      </w:r>
      <w:r w:rsidR="00FF76ED">
        <w:t>: 10</w:t>
      </w:r>
      <w:r>
        <w:t xml:space="preserve"> de </w:t>
      </w:r>
      <w:r w:rsidR="00FF76ED">
        <w:t>abril</w:t>
      </w:r>
      <w:r>
        <w:t xml:space="preserve"> de 2019</w:t>
      </w:r>
    </w:p>
    <w:p w14:paraId="41303C6E" w14:textId="369904BB" w:rsidR="003E004E" w:rsidRDefault="003E004E" w:rsidP="003E004E">
      <w:pPr>
        <w:rPr>
          <w:b/>
        </w:rPr>
      </w:pPr>
      <w:r w:rsidRPr="003E004E">
        <w:rPr>
          <w:b/>
        </w:rPr>
        <w:t>Parte I. Declaración de respaldo continuo del Director Ejecutivo o cargo equivalent</w:t>
      </w:r>
      <w:r>
        <w:rPr>
          <w:b/>
        </w:rPr>
        <w:t>e</w:t>
      </w:r>
    </w:p>
    <w:p w14:paraId="2D63CB07" w14:textId="60124728" w:rsidR="00BE48D6" w:rsidRDefault="00BE48D6" w:rsidP="00BE48D6">
      <w:pPr>
        <w:rPr>
          <w:rFonts w:ascii="Cambria" w:hAnsi="Cambria"/>
        </w:rPr>
      </w:pPr>
      <w:r>
        <w:rPr>
          <w:b/>
          <w:noProof/>
          <w:lang w:val="en-US"/>
        </w:rPr>
        <mc:AlternateContent>
          <mc:Choice Requires="wps">
            <w:drawing>
              <wp:anchor distT="0" distB="0" distL="114300" distR="114300" simplePos="0" relativeHeight="251659264" behindDoc="0" locked="0" layoutInCell="1" allowOverlap="1" wp14:anchorId="2E4420A1" wp14:editId="77C5C84E">
                <wp:simplePos x="0" y="0"/>
                <wp:positionH relativeFrom="column">
                  <wp:posOffset>-146685</wp:posOffset>
                </wp:positionH>
                <wp:positionV relativeFrom="paragraph">
                  <wp:posOffset>146050</wp:posOffset>
                </wp:positionV>
                <wp:extent cx="5867400" cy="4819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867400" cy="4819650"/>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F8AF28" id="Rectangle 3" o:spid="_x0000_s1026" style="position:absolute;margin-left:-11.55pt;margin-top:11.5pt;width:462pt;height:37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" filled="f" strokecolor="black [3200]" strokeweight=".25pt"/>
            </w:pict>
          </mc:Fallback>
        </mc:AlternateContent>
      </w:r>
    </w:p>
    <w:p w14:paraId="3840B8F3" w14:textId="77777777" w:rsidR="00BE48D6" w:rsidRDefault="00BE48D6" w:rsidP="00BE48D6">
      <w:pPr>
        <w:rPr>
          <w:rFonts w:ascii="Cambria" w:hAnsi="Cambria"/>
        </w:rPr>
      </w:pPr>
    </w:p>
    <w:p w14:paraId="13559375" w14:textId="3159F46B" w:rsidR="00BE48D6" w:rsidRDefault="00BE48D6" w:rsidP="00BE48D6">
      <w:pPr>
        <w:rPr>
          <w:rFonts w:ascii="Cambria" w:hAnsi="Cambria"/>
        </w:rPr>
      </w:pPr>
      <w:r w:rsidRPr="00BE48D6">
        <w:rPr>
          <w:rFonts w:ascii="Cambria" w:hAnsi="Cambria"/>
        </w:rPr>
        <w:drawing>
          <wp:inline distT="0" distB="0" distL="0" distR="0" wp14:anchorId="6302873C" wp14:editId="730AE4E2">
            <wp:extent cx="5086350" cy="4133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30" t="2168" r="3134" b="3770"/>
                    <a:stretch/>
                  </pic:blipFill>
                  <pic:spPr bwMode="auto">
                    <a:xfrm>
                      <a:off x="0" y="0"/>
                      <a:ext cx="5086350" cy="4133850"/>
                    </a:xfrm>
                    <a:prstGeom prst="rect">
                      <a:avLst/>
                    </a:prstGeom>
                    <a:ln>
                      <a:noFill/>
                    </a:ln>
                    <a:extLst>
                      <a:ext uri="{53640926-AAD7-44D8-BBD7-CCE9431645EC}">
                        <a14:shadowObscured xmlns:a14="http://schemas.microsoft.com/office/drawing/2010/main"/>
                      </a:ext>
                    </a:extLst>
                  </pic:spPr>
                </pic:pic>
              </a:graphicData>
            </a:graphic>
          </wp:inline>
        </w:drawing>
      </w:r>
    </w:p>
    <w:p w14:paraId="1004A25B" w14:textId="7606FBF6" w:rsidR="008B6257" w:rsidRDefault="008B6257" w:rsidP="00BE48D6">
      <w:pPr>
        <w:rPr>
          <w:rFonts w:ascii="Cambria" w:hAnsi="Cambria"/>
        </w:rPr>
      </w:pPr>
    </w:p>
    <w:p w14:paraId="1CD54538" w14:textId="77777777" w:rsidR="008B6257" w:rsidRDefault="008B6257" w:rsidP="00FC3103">
      <w:pPr>
        <w:tabs>
          <w:tab w:val="left" w:pos="7130"/>
        </w:tabs>
        <w:spacing w:after="0" w:line="240" w:lineRule="auto"/>
        <w:ind w:right="141"/>
        <w:rPr>
          <w:rFonts w:ascii="Cambria" w:hAnsi="Cambria"/>
        </w:rPr>
      </w:pPr>
    </w:p>
    <w:p w14:paraId="3CCD25BF" w14:textId="77777777" w:rsidR="008B6257" w:rsidRDefault="008B6257" w:rsidP="00FC3103">
      <w:pPr>
        <w:tabs>
          <w:tab w:val="left" w:pos="7130"/>
        </w:tabs>
        <w:spacing w:after="0" w:line="240" w:lineRule="auto"/>
        <w:ind w:right="141"/>
        <w:rPr>
          <w:rFonts w:ascii="Cambria" w:hAnsi="Cambria"/>
        </w:rPr>
      </w:pPr>
    </w:p>
    <w:p w14:paraId="252DF744" w14:textId="77777777" w:rsidR="008B6257" w:rsidRDefault="008B6257" w:rsidP="00FC3103">
      <w:pPr>
        <w:tabs>
          <w:tab w:val="left" w:pos="7130"/>
        </w:tabs>
        <w:spacing w:after="0" w:line="240" w:lineRule="auto"/>
        <w:ind w:right="141"/>
        <w:rPr>
          <w:rFonts w:ascii="Cambria" w:hAnsi="Cambria"/>
        </w:rPr>
      </w:pPr>
    </w:p>
    <w:p w14:paraId="6F73AE3D" w14:textId="77777777" w:rsidR="008B6257" w:rsidRDefault="008B6257" w:rsidP="00FC3103">
      <w:pPr>
        <w:tabs>
          <w:tab w:val="left" w:pos="7130"/>
        </w:tabs>
        <w:spacing w:after="0" w:line="240" w:lineRule="auto"/>
        <w:ind w:right="141"/>
        <w:rPr>
          <w:rFonts w:ascii="Cambria" w:hAnsi="Cambria"/>
        </w:rPr>
      </w:pPr>
    </w:p>
    <w:p w14:paraId="43F03F63" w14:textId="77777777" w:rsidR="008B6257" w:rsidRDefault="008B6257" w:rsidP="00FC3103">
      <w:pPr>
        <w:tabs>
          <w:tab w:val="left" w:pos="7130"/>
        </w:tabs>
        <w:spacing w:after="0" w:line="240" w:lineRule="auto"/>
        <w:ind w:right="141"/>
        <w:rPr>
          <w:rFonts w:ascii="Cambria" w:hAnsi="Cambria"/>
        </w:rPr>
      </w:pPr>
    </w:p>
    <w:p w14:paraId="72BCA216" w14:textId="77777777" w:rsidR="008B6257" w:rsidRDefault="008B6257" w:rsidP="00FC3103">
      <w:pPr>
        <w:tabs>
          <w:tab w:val="left" w:pos="7130"/>
        </w:tabs>
        <w:spacing w:after="0" w:line="240" w:lineRule="auto"/>
        <w:ind w:right="141"/>
        <w:rPr>
          <w:rFonts w:ascii="Cambria" w:hAnsi="Cambria"/>
        </w:rPr>
      </w:pPr>
    </w:p>
    <w:p w14:paraId="1BFC9E18" w14:textId="77777777" w:rsidR="008B6257" w:rsidRDefault="008B6257" w:rsidP="00FC3103">
      <w:pPr>
        <w:tabs>
          <w:tab w:val="left" w:pos="7130"/>
        </w:tabs>
        <w:spacing w:after="0" w:line="240" w:lineRule="auto"/>
        <w:ind w:right="141"/>
      </w:pPr>
    </w:p>
    <w:p w14:paraId="4549C42D" w14:textId="77777777" w:rsidR="008B6257" w:rsidRDefault="008B6257" w:rsidP="00FC3103">
      <w:pPr>
        <w:tabs>
          <w:tab w:val="left" w:pos="7130"/>
        </w:tabs>
        <w:spacing w:after="0" w:line="240" w:lineRule="auto"/>
        <w:ind w:right="141"/>
      </w:pPr>
    </w:p>
    <w:p w14:paraId="39F7DACC" w14:textId="77777777" w:rsidR="008B6257" w:rsidRDefault="008B6257" w:rsidP="00FC3103">
      <w:pPr>
        <w:tabs>
          <w:tab w:val="left" w:pos="7130"/>
        </w:tabs>
        <w:spacing w:after="0" w:line="240" w:lineRule="auto"/>
        <w:ind w:right="141"/>
      </w:pPr>
    </w:p>
    <w:p w14:paraId="7491A5E3" w14:textId="77777777" w:rsidR="008B6257" w:rsidRDefault="008B6257" w:rsidP="00FC3103">
      <w:pPr>
        <w:tabs>
          <w:tab w:val="left" w:pos="7130"/>
        </w:tabs>
        <w:spacing w:after="0" w:line="240" w:lineRule="auto"/>
        <w:ind w:right="141"/>
      </w:pPr>
    </w:p>
    <w:p w14:paraId="49A32020" w14:textId="0E4F870C" w:rsidR="008B6257" w:rsidRDefault="008B6257" w:rsidP="00FC3103">
      <w:pPr>
        <w:tabs>
          <w:tab w:val="left" w:pos="7130"/>
        </w:tabs>
        <w:spacing w:after="0" w:line="240" w:lineRule="auto"/>
        <w:ind w:right="141"/>
        <w:rPr>
          <w:b/>
        </w:rPr>
      </w:pPr>
      <w:r w:rsidRPr="008B6257">
        <w:rPr>
          <w:b/>
        </w:rPr>
        <w:t>Parte II. Descripción de medidas</w:t>
      </w:r>
    </w:p>
    <w:p w14:paraId="462E5A4D" w14:textId="77777777" w:rsidR="00BA1F97" w:rsidRPr="008B6257" w:rsidRDefault="00BA1F97" w:rsidP="00FC3103">
      <w:pPr>
        <w:tabs>
          <w:tab w:val="left" w:pos="7130"/>
        </w:tabs>
        <w:spacing w:after="0" w:line="240" w:lineRule="auto"/>
        <w:ind w:right="141"/>
        <w:rPr>
          <w:rFonts w:ascii="Cambria" w:hAnsi="Cambria"/>
          <w:b/>
        </w:rPr>
      </w:pPr>
    </w:p>
    <w:p w14:paraId="05D5202C" w14:textId="4C496FBA" w:rsidR="00735379" w:rsidRDefault="00735379" w:rsidP="00FC3103">
      <w:pPr>
        <w:tabs>
          <w:tab w:val="left" w:pos="7130"/>
        </w:tabs>
        <w:spacing w:after="0" w:line="240" w:lineRule="auto"/>
        <w:ind w:right="141"/>
      </w:pPr>
      <w:r>
        <w:t>La Reserva de la Biósfera Sierra Gorda comprende el 32% del estado de Querétaro, con 383,567 hectáreas que sirven de refugio a la vida silvestre en el centro de México, ocupa el segundo lugar en el país en cuanto a biodiversidad y forma parte de la Red Mundial de Reservar de la Biósfera de UNESCO</w:t>
      </w:r>
      <w:r w:rsidR="00750817">
        <w:t>.</w:t>
      </w:r>
    </w:p>
    <w:p w14:paraId="17BBF9ED" w14:textId="77777777" w:rsidR="00735379" w:rsidRDefault="00735379" w:rsidP="00FC3103">
      <w:pPr>
        <w:tabs>
          <w:tab w:val="left" w:pos="7130"/>
        </w:tabs>
        <w:spacing w:after="0" w:line="240" w:lineRule="auto"/>
        <w:ind w:right="141"/>
      </w:pPr>
    </w:p>
    <w:p w14:paraId="216FAA8D" w14:textId="6C6782B9" w:rsidR="00735379" w:rsidRDefault="00735379" w:rsidP="00FC3103">
      <w:pPr>
        <w:tabs>
          <w:tab w:val="left" w:pos="7130"/>
        </w:tabs>
        <w:spacing w:after="0" w:line="240" w:lineRule="auto"/>
        <w:ind w:right="141"/>
      </w:pPr>
      <w:r>
        <w:t>La acción que ha realizado Grupo Ecológico Sierra Gorda IAP (GESGIAP) durante 32 años, con logros concretos, experiencia y aprendizajes se ha convertido en un modelo de gobernabilidad ambiental construida desde la base de la sociedad para el manejo de conservación de los recursos naturales, donde la población participa de manera activa en el manejo regenerativo de suelos, la restauración, conservación, educación ambiental comunitaria, diversificación productiva, fortalecimiento alimentario regional, combate a la desertificación y saneamiento, creando iniciativas que promueven el desarrollo sustentable compartiendo responsabilidades entre ciudadanos, organizaciones de la sociedad civil local e instancias de gobierno. Este modelo ha sido reconocido nacional e internacionalmente, ganando más alrededor de 35 premios y reconocimientos, así como promovido la colaboración de muchas organizaciones y empresas nacionales e internacionales, privadas y públicas.</w:t>
      </w:r>
    </w:p>
    <w:p w14:paraId="665BFFB3" w14:textId="77777777" w:rsidR="00735379" w:rsidRDefault="00735379" w:rsidP="00FC3103">
      <w:pPr>
        <w:tabs>
          <w:tab w:val="left" w:pos="7130"/>
        </w:tabs>
        <w:spacing w:after="0" w:line="240" w:lineRule="auto"/>
        <w:ind w:right="141"/>
      </w:pPr>
    </w:p>
    <w:p w14:paraId="726D5BA1" w14:textId="7D93B737" w:rsidR="00735379" w:rsidRDefault="00735379" w:rsidP="00FC3103">
      <w:pPr>
        <w:tabs>
          <w:tab w:val="left" w:pos="7130"/>
        </w:tabs>
        <w:spacing w:after="0" w:line="240" w:lineRule="auto"/>
        <w:ind w:right="141"/>
      </w:pPr>
      <w:r>
        <w:t xml:space="preserve">Actualmente está conformada la Alianza por la Conservación de la Reserva de la Biósfera Sierra Gorda, que incluye a Grupo Ecológico Sierra Gorda IAP, como organización madre, Bosque Sustentable A. C., Joya del Hielo, A. C., Productos y Servicios Sierra Gorda, S. </w:t>
      </w:r>
      <w:r w:rsidR="00750817">
        <w:t>A. de C.V. y Viva Sierra Gorda</w:t>
      </w:r>
      <w:r>
        <w:t xml:space="preserve">. Cada una de estas organizaciones tiene un papel clave para conservar los recursos naturales de la región y promover el desarrollo sustentable. </w:t>
      </w:r>
    </w:p>
    <w:p w14:paraId="6F701916" w14:textId="77777777" w:rsidR="00735379" w:rsidRDefault="00735379" w:rsidP="00FC3103">
      <w:pPr>
        <w:tabs>
          <w:tab w:val="left" w:pos="7130"/>
        </w:tabs>
        <w:spacing w:after="0" w:line="240" w:lineRule="auto"/>
        <w:ind w:right="141"/>
      </w:pPr>
      <w:r>
        <w:t xml:space="preserve">Al tiempo que se generan beneficios locales y se mitiga el calentamiento global, también se regeneran los recursos naturales incrementando los servicios de los ecosistemas y brindando opciones de desarrollo social y económico con alternativas amigables a la naturaleza, alineando nuestras estrategias, valores acciones con 2 de los 10 principios de impacto global: </w:t>
      </w:r>
    </w:p>
    <w:p w14:paraId="405F53EA" w14:textId="77777777" w:rsidR="00735379" w:rsidRDefault="00735379" w:rsidP="00FC3103">
      <w:pPr>
        <w:tabs>
          <w:tab w:val="left" w:pos="7130"/>
        </w:tabs>
        <w:spacing w:after="0" w:line="240" w:lineRule="auto"/>
        <w:ind w:right="141"/>
      </w:pPr>
    </w:p>
    <w:p w14:paraId="5A0EE41F" w14:textId="3A7F4AA4" w:rsidR="00735379" w:rsidRDefault="00735379" w:rsidP="00FC3103">
      <w:pPr>
        <w:tabs>
          <w:tab w:val="left" w:pos="7130"/>
        </w:tabs>
        <w:spacing w:after="0" w:line="240" w:lineRule="auto"/>
        <w:ind w:right="141"/>
        <w:rPr>
          <w:i/>
        </w:rPr>
      </w:pPr>
      <w:r w:rsidRPr="00735379">
        <w:rPr>
          <w:i/>
        </w:rPr>
        <w:t>Principio 7: Medio ambiente. Las empresas deberán mantener un enfoque preventivo que favorezca el medio ambiente.</w:t>
      </w:r>
    </w:p>
    <w:p w14:paraId="77CA07BD" w14:textId="77777777" w:rsidR="00735379" w:rsidRPr="00735379" w:rsidRDefault="00735379" w:rsidP="00FC3103">
      <w:pPr>
        <w:tabs>
          <w:tab w:val="left" w:pos="7130"/>
        </w:tabs>
        <w:spacing w:after="0" w:line="240" w:lineRule="auto"/>
        <w:ind w:right="141"/>
        <w:rPr>
          <w:i/>
        </w:rPr>
      </w:pPr>
    </w:p>
    <w:p w14:paraId="4D292CDB" w14:textId="10B12AF7" w:rsidR="00735379" w:rsidRDefault="00735379" w:rsidP="00FC3103">
      <w:pPr>
        <w:tabs>
          <w:tab w:val="left" w:pos="7130"/>
        </w:tabs>
        <w:spacing w:after="0" w:line="240" w:lineRule="auto"/>
        <w:ind w:right="141"/>
      </w:pPr>
      <w:r>
        <w:t>En este caso nuestros esquemas son sostenibles, procuran la conservación de los recursos, con el mínimo impacto al medio ambiente. Se están desarrollando metodologías y herramientas con eficacia probada para la conservación y recuperación de suelos, agua, bosques y biodiversidad, con total respeto del entorno.</w:t>
      </w:r>
    </w:p>
    <w:p w14:paraId="2505A8AD" w14:textId="77777777" w:rsidR="00735379" w:rsidRDefault="00735379" w:rsidP="00FC3103">
      <w:pPr>
        <w:tabs>
          <w:tab w:val="left" w:pos="7130"/>
        </w:tabs>
        <w:spacing w:after="0" w:line="240" w:lineRule="auto"/>
        <w:ind w:right="141"/>
      </w:pPr>
    </w:p>
    <w:p w14:paraId="005FCD68" w14:textId="77777777" w:rsidR="00735379" w:rsidRPr="00735379" w:rsidRDefault="00735379" w:rsidP="00FC3103">
      <w:pPr>
        <w:tabs>
          <w:tab w:val="left" w:pos="7130"/>
        </w:tabs>
        <w:spacing w:after="0" w:line="240" w:lineRule="auto"/>
        <w:ind w:right="141"/>
        <w:rPr>
          <w:i/>
        </w:rPr>
      </w:pPr>
      <w:r w:rsidRPr="00735379">
        <w:rPr>
          <w:i/>
        </w:rPr>
        <w:t xml:space="preserve">Principio 8: Fomentar las iniciativas que promuevan una mayor responsabilidad ambiental. </w:t>
      </w:r>
    </w:p>
    <w:p w14:paraId="1FA49113" w14:textId="77777777" w:rsidR="00735379" w:rsidRDefault="00735379" w:rsidP="00FC3103">
      <w:pPr>
        <w:tabs>
          <w:tab w:val="left" w:pos="7130"/>
        </w:tabs>
        <w:spacing w:after="0" w:line="240" w:lineRule="auto"/>
        <w:ind w:right="141"/>
      </w:pPr>
    </w:p>
    <w:p w14:paraId="6524B6DC" w14:textId="07984654" w:rsidR="00735379" w:rsidRDefault="00735379" w:rsidP="00FC3103">
      <w:pPr>
        <w:tabs>
          <w:tab w:val="left" w:pos="7130"/>
        </w:tabs>
        <w:spacing w:after="0" w:line="240" w:lineRule="auto"/>
        <w:ind w:right="141"/>
      </w:pPr>
      <w:r>
        <w:t>La gestión de fondos de empresas</w:t>
      </w:r>
      <w:r w:rsidR="00702653">
        <w:t xml:space="preserve"> y organizaciones como</w:t>
      </w:r>
      <w:r>
        <w:t xml:space="preserve"> </w:t>
      </w:r>
      <w:proofErr w:type="spellStart"/>
      <w:r>
        <w:t>Bombardier</w:t>
      </w:r>
      <w:proofErr w:type="spellEnd"/>
      <w:r>
        <w:t xml:space="preserve">, </w:t>
      </w:r>
      <w:proofErr w:type="spellStart"/>
      <w:r>
        <w:t>Impoexporta</w:t>
      </w:r>
      <w:proofErr w:type="spellEnd"/>
      <w:r>
        <w:t xml:space="preserve">, </w:t>
      </w:r>
      <w:proofErr w:type="spellStart"/>
      <w:r>
        <w:t>E</w:t>
      </w:r>
      <w:r w:rsidR="004450F1">
        <w:t>arth</w:t>
      </w:r>
      <w:proofErr w:type="spellEnd"/>
      <w:r w:rsidR="004450F1">
        <w:t xml:space="preserve"> Day Network y Mitsubishi </w:t>
      </w:r>
      <w:r>
        <w:t xml:space="preserve">han permitido apoyar a productores forestales para el pago de servicios ambientales, fortaleciendo el mecanismo de compensaciones de carbono, mitigando la huella ambiental y valorizando los servicios </w:t>
      </w:r>
      <w:proofErr w:type="spellStart"/>
      <w:r>
        <w:t>ecosistémicos</w:t>
      </w:r>
      <w:proofErr w:type="spellEnd"/>
      <w:r>
        <w:t xml:space="preserve"> de la reserva.</w:t>
      </w:r>
    </w:p>
    <w:p w14:paraId="2E75DA14" w14:textId="77777777" w:rsidR="00735379" w:rsidRDefault="00735379" w:rsidP="00FC3103">
      <w:pPr>
        <w:tabs>
          <w:tab w:val="left" w:pos="7130"/>
        </w:tabs>
        <w:spacing w:after="0" w:line="240" w:lineRule="auto"/>
        <w:ind w:right="141"/>
      </w:pPr>
    </w:p>
    <w:p w14:paraId="53A8DD27" w14:textId="77777777" w:rsidR="00735379" w:rsidRDefault="00735379" w:rsidP="00FC3103">
      <w:pPr>
        <w:tabs>
          <w:tab w:val="left" w:pos="7130"/>
        </w:tabs>
        <w:spacing w:after="0" w:line="240" w:lineRule="auto"/>
        <w:ind w:right="141"/>
      </w:pPr>
      <w:r>
        <w:t xml:space="preserve">Trabajamos 4 líneas estratégicas: </w:t>
      </w:r>
    </w:p>
    <w:p w14:paraId="5576D09D" w14:textId="77777777" w:rsidR="00735379" w:rsidRDefault="00735379" w:rsidP="00735379">
      <w:pPr>
        <w:tabs>
          <w:tab w:val="left" w:pos="7130"/>
        </w:tabs>
        <w:spacing w:after="0" w:line="240" w:lineRule="auto"/>
        <w:ind w:right="141"/>
      </w:pPr>
    </w:p>
    <w:p w14:paraId="74AEF125" w14:textId="4A2E040E" w:rsidR="00735379" w:rsidRPr="008645B8" w:rsidRDefault="00735379" w:rsidP="00735379">
      <w:pPr>
        <w:tabs>
          <w:tab w:val="left" w:pos="7130"/>
        </w:tabs>
        <w:spacing w:after="0" w:line="240" w:lineRule="auto"/>
        <w:ind w:right="141"/>
        <w:rPr>
          <w:b/>
        </w:rPr>
      </w:pPr>
      <w:r w:rsidRPr="008645B8">
        <w:rPr>
          <w:b/>
        </w:rPr>
        <w:t xml:space="preserve">1. Conservación y regeneración forestal. </w:t>
      </w:r>
    </w:p>
    <w:p w14:paraId="6032B4E9" w14:textId="77777777" w:rsidR="00735379" w:rsidRDefault="00735379" w:rsidP="00735379">
      <w:pPr>
        <w:tabs>
          <w:tab w:val="left" w:pos="7130"/>
        </w:tabs>
        <w:spacing w:after="0" w:line="240" w:lineRule="auto"/>
        <w:ind w:right="141"/>
      </w:pPr>
    </w:p>
    <w:p w14:paraId="7EEDCF26" w14:textId="77777777" w:rsidR="00735379" w:rsidRDefault="00735379" w:rsidP="00735379">
      <w:pPr>
        <w:tabs>
          <w:tab w:val="left" w:pos="7130"/>
        </w:tabs>
        <w:spacing w:after="0" w:line="240" w:lineRule="auto"/>
        <w:ind w:right="141"/>
      </w:pPr>
      <w:r>
        <w:t xml:space="preserve">Se realiza el pago de servicios ambientales a través de la gestión de recursos con instancias como la Comisión Nacional Forestal de la Secretaría del Medio Ambiente y Recursos Naturales del gobierno federal. </w:t>
      </w:r>
    </w:p>
    <w:p w14:paraId="60084F57" w14:textId="77777777" w:rsidR="00735379" w:rsidRDefault="00735379" w:rsidP="00735379">
      <w:pPr>
        <w:tabs>
          <w:tab w:val="left" w:pos="7130"/>
        </w:tabs>
        <w:spacing w:after="0" w:line="240" w:lineRule="auto"/>
        <w:ind w:right="141"/>
      </w:pPr>
    </w:p>
    <w:p w14:paraId="1AA2EAB1" w14:textId="77777777" w:rsidR="00F3055E" w:rsidRPr="007605C1" w:rsidRDefault="00F3055E" w:rsidP="00F3055E">
      <w:r w:rsidRPr="007605C1">
        <w:t>Desarrollamos un programa voluntario de compensación de carbono mediante el cual individuos y corporaciones (</w:t>
      </w:r>
      <w:proofErr w:type="spellStart"/>
      <w:r w:rsidRPr="007605C1">
        <w:t>Bombardier</w:t>
      </w:r>
      <w:proofErr w:type="spellEnd"/>
      <w:r w:rsidRPr="007605C1">
        <w:t xml:space="preserve">, </w:t>
      </w:r>
      <w:proofErr w:type="spellStart"/>
      <w:r w:rsidRPr="007605C1">
        <w:t>Atmex</w:t>
      </w:r>
      <w:proofErr w:type="spellEnd"/>
      <w:r w:rsidRPr="007605C1">
        <w:t xml:space="preserve">, </w:t>
      </w:r>
      <w:proofErr w:type="spellStart"/>
      <w:r w:rsidRPr="007605C1">
        <w:t>Rudistas</w:t>
      </w:r>
      <w:proofErr w:type="spellEnd"/>
      <w:r w:rsidRPr="007605C1">
        <w:t xml:space="preserve">, </w:t>
      </w:r>
      <w:proofErr w:type="spellStart"/>
      <w:r w:rsidRPr="007605C1">
        <w:t>Impoexporta</w:t>
      </w:r>
      <w:proofErr w:type="spellEnd"/>
      <w:r w:rsidRPr="007605C1">
        <w:t xml:space="preserve">, </w:t>
      </w:r>
      <w:proofErr w:type="spellStart"/>
      <w:r w:rsidRPr="007605C1">
        <w:t>etc</w:t>
      </w:r>
      <w:proofErr w:type="spellEnd"/>
      <w:r w:rsidRPr="007605C1">
        <w:t xml:space="preserve">) compensan sus emisiones a través de pagos por servicios </w:t>
      </w:r>
      <w:proofErr w:type="spellStart"/>
      <w:r w:rsidRPr="007605C1">
        <w:t>ecosistémicos</w:t>
      </w:r>
      <w:proofErr w:type="spellEnd"/>
      <w:r w:rsidRPr="007605C1">
        <w:t xml:space="preserve"> a pequeños propietarios de bosques. Nuestro sitio web, carbonneutralplane</w:t>
      </w:r>
      <w:r>
        <w:t>t.org se utiliza para este fin.</w:t>
      </w:r>
    </w:p>
    <w:p w14:paraId="77123A33" w14:textId="77777777" w:rsidR="00F3055E" w:rsidRDefault="00F3055E" w:rsidP="00F3055E">
      <w:r w:rsidRPr="007605C1">
        <w:t xml:space="preserve">Estamos en el proceso de replicar el Mecanismo Estatal de </w:t>
      </w:r>
      <w:proofErr w:type="spellStart"/>
      <w:r w:rsidRPr="007605C1">
        <w:t>Compensacones</w:t>
      </w:r>
      <w:proofErr w:type="spellEnd"/>
      <w:r w:rsidRPr="007605C1">
        <w:t xml:space="preserve"> de Carbono de Querétaro, un modelo de financiamiento </w:t>
      </w:r>
      <w:proofErr w:type="spellStart"/>
      <w:r w:rsidRPr="007605C1">
        <w:t>subnacional</w:t>
      </w:r>
      <w:proofErr w:type="spellEnd"/>
      <w:r w:rsidRPr="007605C1">
        <w:t xml:space="preserve"> a nivel estatal en el que a través de un módico impuesto vehicular se recaudan  fondos que se usan para compensar a los propietarios de tierras por la remoción de ganado de sus bosques, permitiendo la regeneración forestal y por ende la restauración forestal y de ahí la captura de carbono. Este modelo forma parte de nuestra NAMA registrada en la CMNUCC, “Acciones de mitigación </w:t>
      </w:r>
      <w:proofErr w:type="spellStart"/>
      <w:r w:rsidRPr="007605C1">
        <w:t>subnacionales</w:t>
      </w:r>
      <w:proofErr w:type="spellEnd"/>
      <w:r w:rsidRPr="007605C1">
        <w:t xml:space="preserve"> para la restauración de bosques degradados y la implementación del pastoreo planificado”, que estamos replicando en 9 estados de México. Estamos trabajando con la SEMARNAT (Secretaría de Medio Ambiente y Recursos Naturales de México) para que esta NAMA se adopte como una política pública federal.</w:t>
      </w:r>
    </w:p>
    <w:p w14:paraId="55683369" w14:textId="77777777" w:rsidR="00FF04BF" w:rsidRPr="00750817" w:rsidRDefault="00FF04BF" w:rsidP="00FF04BF">
      <w:pPr>
        <w:pStyle w:val="NoSpacing"/>
        <w:rPr>
          <w:lang w:val="es-MX"/>
        </w:rPr>
      </w:pPr>
    </w:p>
    <w:p w14:paraId="2241757D" w14:textId="36F072B2" w:rsidR="008645B8" w:rsidRPr="008645B8" w:rsidRDefault="008645B8" w:rsidP="008645B8">
      <w:pPr>
        <w:tabs>
          <w:tab w:val="left" w:pos="7130"/>
        </w:tabs>
        <w:spacing w:after="0" w:line="240" w:lineRule="auto"/>
        <w:ind w:right="141"/>
        <w:rPr>
          <w:b/>
        </w:rPr>
      </w:pPr>
      <w:r>
        <w:rPr>
          <w:b/>
        </w:rPr>
        <w:t>2.</w:t>
      </w:r>
      <w:r w:rsidRPr="008645B8">
        <w:rPr>
          <w:b/>
        </w:rPr>
        <w:t xml:space="preserve"> Manejo regenerativo de suelos y producción de alimentos. </w:t>
      </w:r>
    </w:p>
    <w:p w14:paraId="4444F428" w14:textId="4E302ED1" w:rsidR="008645B8" w:rsidRPr="00750817" w:rsidRDefault="008645B8" w:rsidP="008645B8">
      <w:pPr>
        <w:pStyle w:val="NoSpacing"/>
        <w:rPr>
          <w:lang w:val="es-MX"/>
        </w:rPr>
      </w:pPr>
      <w:r w:rsidRPr="008645B8">
        <w:rPr>
          <w:lang w:val="es-MX"/>
        </w:rPr>
        <w:t xml:space="preserve">Desde el Diciembre 2016 hasta el Noviembre de 2018, hemos sensibilizado y capacitado en la implementación de manejo holístico </w:t>
      </w:r>
      <w:r w:rsidRPr="00750817">
        <w:rPr>
          <w:lang w:val="es-MX"/>
        </w:rPr>
        <w:t xml:space="preserve">de suelos y otras prácticas regenerativas a múltiples actores: legisladores, técnicos, funcionarios de otros estados del país, docentes, jóvenes líderes, pequeños productores agropecuarios y hortelanas de la Sierra </w:t>
      </w:r>
      <w:r w:rsidR="00750817">
        <w:rPr>
          <w:lang w:val="es-MX"/>
        </w:rPr>
        <w:t xml:space="preserve">Gorda en el estado de Querétaro, </w:t>
      </w:r>
      <w:r w:rsidRPr="00750817">
        <w:rPr>
          <w:lang w:val="es-MX"/>
        </w:rPr>
        <w:t>Guanajuato, Chihuahua, Sonora y San Luis Potosí, ofertando una rica variedad de eventos educativos, foros, talleres, intercambio de experiencias, visitas de asistencia técnica, establecimiento de sitios demostrativos piloto, desarrollo de planes de pastoreo, diseños hidrológicos, de finanzas y monitoreo biológico.</w:t>
      </w:r>
    </w:p>
    <w:p w14:paraId="245781C4" w14:textId="77777777" w:rsidR="008645B8" w:rsidRPr="008645B8" w:rsidRDefault="008645B8" w:rsidP="008645B8">
      <w:pPr>
        <w:pStyle w:val="NoSpacing"/>
        <w:rPr>
          <w:lang w:val="es-ES"/>
        </w:rPr>
      </w:pPr>
    </w:p>
    <w:p w14:paraId="4F9215C3" w14:textId="756EFF0B" w:rsidR="00750817" w:rsidRPr="009A1E56" w:rsidRDefault="00750817" w:rsidP="00750817">
      <w:pPr>
        <w:pStyle w:val="NoSpacing"/>
        <w:rPr>
          <w:lang w:val="es-MX"/>
        </w:rPr>
      </w:pPr>
      <w:r>
        <w:rPr>
          <w:lang w:val="es-ES"/>
        </w:rPr>
        <w:t>Más</w:t>
      </w:r>
      <w:r w:rsidR="008645B8" w:rsidRPr="008645B8">
        <w:rPr>
          <w:lang w:val="es-ES"/>
        </w:rPr>
        <w:t xml:space="preserve"> de 5,000 productores agropecuarios y técnicos han recibido capacitación en torno al manejo regenerativo y restauración de suelos. </w:t>
      </w:r>
      <w:r>
        <w:rPr>
          <w:lang w:val="es-ES"/>
        </w:rPr>
        <w:t>Realizamos</w:t>
      </w:r>
      <w:r w:rsidRPr="008645B8">
        <w:rPr>
          <w:lang w:val="es-ES"/>
        </w:rPr>
        <w:t xml:space="preserve"> </w:t>
      </w:r>
      <w:r w:rsidRPr="008645B8">
        <w:rPr>
          <w:i/>
          <w:lang w:val="es-ES"/>
        </w:rPr>
        <w:t>Diplomados de Manejo Holístico</w:t>
      </w:r>
      <w:r w:rsidRPr="009A1E56">
        <w:rPr>
          <w:lang w:val="es-MX"/>
        </w:rPr>
        <w:t>, capacitando a técnicos, productores y estudiantes del sector rural</w:t>
      </w:r>
      <w:r>
        <w:rPr>
          <w:lang w:val="es-MX"/>
        </w:rPr>
        <w:t xml:space="preserve">, abordando </w:t>
      </w:r>
      <w:r w:rsidRPr="009A1E56">
        <w:rPr>
          <w:lang w:val="es-MX"/>
        </w:rPr>
        <w:t xml:space="preserve">metodología completa del Manejo Holístico, diseño hidrológico </w:t>
      </w:r>
      <w:proofErr w:type="spellStart"/>
      <w:r w:rsidRPr="009A1E56">
        <w:rPr>
          <w:lang w:val="es-MX"/>
        </w:rPr>
        <w:t>keyline</w:t>
      </w:r>
      <w:proofErr w:type="spellEnd"/>
      <w:r w:rsidRPr="009A1E56">
        <w:rPr>
          <w:lang w:val="es-MX"/>
        </w:rPr>
        <w:t xml:space="preserve">, agricultura regenerativa, alternativas de pastoreo, genética </w:t>
      </w:r>
      <w:proofErr w:type="spellStart"/>
      <w:r w:rsidRPr="009A1E56">
        <w:rPr>
          <w:lang w:val="es-MX"/>
        </w:rPr>
        <w:t>multi</w:t>
      </w:r>
      <w:proofErr w:type="spellEnd"/>
      <w:r w:rsidRPr="009A1E56">
        <w:rPr>
          <w:lang w:val="es-MX"/>
        </w:rPr>
        <w:t xml:space="preserve">-especies adaptada a entornos, huertos </w:t>
      </w:r>
      <w:proofErr w:type="spellStart"/>
      <w:r w:rsidRPr="009A1E56">
        <w:rPr>
          <w:lang w:val="es-MX"/>
        </w:rPr>
        <w:t>biointensivos</w:t>
      </w:r>
      <w:proofErr w:type="spellEnd"/>
      <w:r w:rsidRPr="009A1E56">
        <w:rPr>
          <w:lang w:val="es-MX"/>
        </w:rPr>
        <w:t xml:space="preserve">, identificación de depredadores en la ganadería y alimentación sana. </w:t>
      </w:r>
      <w:r>
        <w:rPr>
          <w:lang w:val="es-ES"/>
        </w:rPr>
        <w:t>O</w:t>
      </w:r>
      <w:r w:rsidRPr="008645B8">
        <w:rPr>
          <w:lang w:val="es-ES"/>
        </w:rPr>
        <w:t>peramos una red de educadores integrada por má</w:t>
      </w:r>
      <w:r>
        <w:rPr>
          <w:lang w:val="es-ES"/>
        </w:rPr>
        <w:t>s de 100 técnicos y productores, egresados del diplomado de manejo holístico q</w:t>
      </w:r>
      <w:r w:rsidRPr="008645B8">
        <w:rPr>
          <w:lang w:val="es-ES"/>
        </w:rPr>
        <w:t>uienes ya se encuentran implementando la metodología en sus áreas de trabajo.</w:t>
      </w:r>
      <w:r w:rsidRPr="00750817">
        <w:rPr>
          <w:lang w:val="es-MX"/>
        </w:rPr>
        <w:t xml:space="preserve"> </w:t>
      </w:r>
    </w:p>
    <w:p w14:paraId="0E204616" w14:textId="77777777" w:rsidR="00750817" w:rsidRDefault="00750817" w:rsidP="008645B8">
      <w:pPr>
        <w:pStyle w:val="NoSpacing"/>
        <w:rPr>
          <w:lang w:val="es-ES"/>
        </w:rPr>
      </w:pPr>
    </w:p>
    <w:p w14:paraId="0B15B06B" w14:textId="25EF98EE" w:rsidR="00750817" w:rsidRPr="00750817" w:rsidRDefault="008645B8" w:rsidP="00750817">
      <w:pPr>
        <w:pStyle w:val="NoSpacing"/>
        <w:rPr>
          <w:lang w:val="es-MX"/>
        </w:rPr>
      </w:pPr>
      <w:r w:rsidRPr="008645B8">
        <w:rPr>
          <w:lang w:val="es-ES"/>
        </w:rPr>
        <w:t xml:space="preserve">Contamos con 25 ranchos pilotos ubicados en Querétaro, Chihuahua, Sonora, Guanajuato y San Luis Potosí </w:t>
      </w:r>
      <w:r w:rsidR="00026A1F">
        <w:rPr>
          <w:lang w:val="es-MX"/>
        </w:rPr>
        <w:t>(un total de 114,079</w:t>
      </w:r>
      <w:r w:rsidR="00750817">
        <w:rPr>
          <w:lang w:val="es-MX"/>
        </w:rPr>
        <w:t xml:space="preserve"> hectáreas)</w:t>
      </w:r>
      <w:r w:rsidR="00750817" w:rsidRPr="00750817">
        <w:rPr>
          <w:lang w:val="es-MX"/>
        </w:rPr>
        <w:t xml:space="preserve"> </w:t>
      </w:r>
      <w:r w:rsidR="00750817" w:rsidRPr="008645B8">
        <w:rPr>
          <w:lang w:val="es-MX"/>
        </w:rPr>
        <w:t xml:space="preserve">en los cuales </w:t>
      </w:r>
      <w:r w:rsidR="00750817">
        <w:rPr>
          <w:lang w:val="es-MX"/>
        </w:rPr>
        <w:t>se realizan</w:t>
      </w:r>
      <w:r w:rsidR="00750817" w:rsidRPr="008645B8">
        <w:rPr>
          <w:lang w:val="es-MX"/>
        </w:rPr>
        <w:t xml:space="preserve"> diversas actividades </w:t>
      </w:r>
      <w:r w:rsidR="00750817">
        <w:rPr>
          <w:lang w:val="es-MX"/>
        </w:rPr>
        <w:t>como</w:t>
      </w:r>
      <w:r w:rsidR="00750817" w:rsidRPr="008645B8">
        <w:rPr>
          <w:lang w:val="es-MX"/>
        </w:rPr>
        <w:t xml:space="preserve"> trazos de diseños </w:t>
      </w:r>
      <w:proofErr w:type="spellStart"/>
      <w:r w:rsidR="00750817" w:rsidRPr="008645B8">
        <w:rPr>
          <w:lang w:val="es-MX"/>
        </w:rPr>
        <w:t>keyline</w:t>
      </w:r>
      <w:proofErr w:type="spellEnd"/>
      <w:r w:rsidR="00750817">
        <w:rPr>
          <w:lang w:val="es-MX"/>
        </w:rPr>
        <w:t xml:space="preserve"> y </w:t>
      </w:r>
      <w:r w:rsidR="00750817" w:rsidRPr="008645B8">
        <w:rPr>
          <w:lang w:val="es-MX"/>
        </w:rPr>
        <w:t xml:space="preserve">obras de captación de agua de lluvia. </w:t>
      </w:r>
      <w:r w:rsidR="00750817" w:rsidRPr="009A1E56">
        <w:rPr>
          <w:lang w:val="es-MX"/>
        </w:rPr>
        <w:t xml:space="preserve">Cada uno de estos ranchos trabaja constantemente en su planeación de infraestructura para la mejora del </w:t>
      </w:r>
      <w:r w:rsidR="00750817">
        <w:rPr>
          <w:lang w:val="es-MX"/>
        </w:rPr>
        <w:t>g</w:t>
      </w:r>
      <w:r w:rsidR="00750817" w:rsidRPr="009A1E56">
        <w:rPr>
          <w:lang w:val="es-MX"/>
        </w:rPr>
        <w:t>anado.</w:t>
      </w:r>
    </w:p>
    <w:p w14:paraId="4C1A10DF" w14:textId="40E1A601" w:rsidR="008645B8" w:rsidRPr="008645B8" w:rsidRDefault="008645B8" w:rsidP="008645B8">
      <w:pPr>
        <w:pStyle w:val="NoSpacing"/>
        <w:rPr>
          <w:lang w:val="es-ES"/>
        </w:rPr>
      </w:pPr>
    </w:p>
    <w:p w14:paraId="1F061E98" w14:textId="29AE3AEE" w:rsidR="008645B8" w:rsidRPr="008645B8" w:rsidRDefault="008645B8" w:rsidP="008645B8">
      <w:pPr>
        <w:pStyle w:val="NoSpacing"/>
        <w:rPr>
          <w:lang w:val="es-ES"/>
        </w:rPr>
      </w:pPr>
      <w:r w:rsidRPr="008645B8">
        <w:rPr>
          <w:lang w:val="es-ES"/>
        </w:rPr>
        <w:t xml:space="preserve">Hemos logrado la gestión de diversos apoyos para incrementar el equipamiento de los ranchos ya operando como obras de captación de agua, invernaderos para producción </w:t>
      </w:r>
      <w:r w:rsidRPr="008645B8">
        <w:rPr>
          <w:lang w:val="es-ES"/>
        </w:rPr>
        <w:lastRenderedPageBreak/>
        <w:t>orgánica e insumos minerales para apl</w:t>
      </w:r>
      <w:r w:rsidR="00750817">
        <w:rPr>
          <w:lang w:val="es-ES"/>
        </w:rPr>
        <w:t>icación en parcelas agrícolas. C</w:t>
      </w:r>
      <w:r w:rsidRPr="008645B8">
        <w:rPr>
          <w:lang w:val="es-ES"/>
        </w:rPr>
        <w:t>on esto se logra una mejora en las condiciones de cada rancho, así como una mejora en la economía de los productores por ahorro en insumos y venta de productos orgánicos.</w:t>
      </w:r>
    </w:p>
    <w:p w14:paraId="063A8580" w14:textId="77777777" w:rsidR="00750817" w:rsidRDefault="00750817" w:rsidP="008645B8">
      <w:pPr>
        <w:pStyle w:val="NoSpacing"/>
        <w:rPr>
          <w:lang w:val="es-MX"/>
        </w:rPr>
      </w:pPr>
    </w:p>
    <w:p w14:paraId="6F623938" w14:textId="52E851F2" w:rsidR="009A1E56" w:rsidRDefault="009A1E56" w:rsidP="008645B8">
      <w:pPr>
        <w:pStyle w:val="NoSpacing"/>
        <w:rPr>
          <w:lang w:val="es-MX"/>
        </w:rPr>
      </w:pPr>
      <w:r>
        <w:rPr>
          <w:lang w:val="es-MX"/>
        </w:rPr>
        <w:t xml:space="preserve">Formalizamos </w:t>
      </w:r>
      <w:r w:rsidR="008645B8" w:rsidRPr="009A1E56">
        <w:rPr>
          <w:lang w:val="es-MX"/>
        </w:rPr>
        <w:t>la organización “Manejo Regenerativo de Ranchos A.C.” en el estado de Chihuahua; integrada por 200 ganaderos de Chihuahua, con ellos se organizaron 2 reuniones anuales, dónde se contó con la participación de más de 300 ganaderos de todo el país, involucrados en la regeneración de suelos y el manejo sustentable de ranchos.</w:t>
      </w:r>
    </w:p>
    <w:p w14:paraId="416CE93C" w14:textId="77777777" w:rsidR="008645B8" w:rsidRPr="009A1E56" w:rsidRDefault="008645B8" w:rsidP="008645B8">
      <w:pPr>
        <w:pStyle w:val="NoSpacing"/>
        <w:rPr>
          <w:lang w:val="es-MX"/>
        </w:rPr>
      </w:pPr>
    </w:p>
    <w:p w14:paraId="3C9C68CB" w14:textId="010FB6E6" w:rsidR="008645B8" w:rsidRPr="00750817" w:rsidRDefault="00750817" w:rsidP="008645B8">
      <w:pPr>
        <w:pStyle w:val="NoSpacing"/>
        <w:rPr>
          <w:lang w:val="es-MX"/>
        </w:rPr>
      </w:pPr>
      <w:r>
        <w:rPr>
          <w:lang w:val="es-MX"/>
        </w:rPr>
        <w:t>Se</w:t>
      </w:r>
      <w:r w:rsidR="008645B8" w:rsidRPr="00750817">
        <w:rPr>
          <w:lang w:val="es-MX"/>
        </w:rPr>
        <w:t xml:space="preserve"> procura que los productores obtengan siempre una mejora en su economía, por lo que se construyeron seis invernaderos en la localidad de </w:t>
      </w:r>
      <w:proofErr w:type="spellStart"/>
      <w:r w:rsidR="008645B8" w:rsidRPr="00750817">
        <w:rPr>
          <w:lang w:val="es-MX"/>
        </w:rPr>
        <w:t>Tonatico</w:t>
      </w:r>
      <w:proofErr w:type="spellEnd"/>
      <w:r w:rsidR="008645B8" w:rsidRPr="00750817">
        <w:rPr>
          <w:lang w:val="es-MX"/>
        </w:rPr>
        <w:t>, Pinal de Amoles, Querétaro, con la finalidad de producir jitomate orgánico a gran escala, para distribuir a nivel regional el cultivo de primera y poder dar un valor agregado a dicho producto. Por lo que se trabaja en capacitar a los productores para la creación de productos alimenticios derivados de la cosecha de jitomate. Esto se traduce en la creación de empleos en la comunidad además de una fuente de ingresos por la venta de dichos productos.</w:t>
      </w:r>
    </w:p>
    <w:p w14:paraId="416D99B3" w14:textId="77777777" w:rsidR="008645B8" w:rsidRPr="008645B8" w:rsidRDefault="008645B8" w:rsidP="008645B8">
      <w:pPr>
        <w:spacing w:line="240" w:lineRule="auto"/>
        <w:jc w:val="both"/>
        <w:rPr>
          <w:rFonts w:asciiTheme="minorHAnsi" w:hAnsiTheme="minorHAnsi" w:cs="Arial"/>
        </w:rPr>
      </w:pPr>
    </w:p>
    <w:p w14:paraId="7ACB0611" w14:textId="77777777" w:rsidR="00883639" w:rsidRPr="008645B8" w:rsidRDefault="00883639" w:rsidP="00883639">
      <w:pPr>
        <w:tabs>
          <w:tab w:val="left" w:pos="7130"/>
        </w:tabs>
        <w:spacing w:after="0" w:line="240" w:lineRule="auto"/>
        <w:ind w:right="141"/>
        <w:rPr>
          <w:b/>
        </w:rPr>
      </w:pPr>
      <w:r>
        <w:rPr>
          <w:b/>
        </w:rPr>
        <w:t>3</w:t>
      </w:r>
      <w:r w:rsidRPr="008645B8">
        <w:rPr>
          <w:b/>
        </w:rPr>
        <w:t xml:space="preserve">. Educación ambiental comunitaria. </w:t>
      </w:r>
    </w:p>
    <w:p w14:paraId="59B4B1D6" w14:textId="77777777" w:rsidR="00883639" w:rsidRDefault="00883639" w:rsidP="00883639">
      <w:pPr>
        <w:tabs>
          <w:tab w:val="left" w:pos="7130"/>
        </w:tabs>
        <w:spacing w:after="0" w:line="240" w:lineRule="auto"/>
        <w:ind w:right="141"/>
      </w:pPr>
      <w:r>
        <w:t xml:space="preserve">Como una gran línea transversal está la educación ambiental comunitaria, única manera de mantener los ecosistemas como áreas de protección, con la formación de valores y hábitos para el cuidado del entorno, la percepción de pertenencia y responsabilidad, liderazgo ecológico, cultura desde del hogar y motivando la participación de las familias y autoridades locales desde las escuelas. </w:t>
      </w:r>
    </w:p>
    <w:p w14:paraId="04173BBB" w14:textId="77777777" w:rsidR="00883639" w:rsidRDefault="00883639" w:rsidP="00883639">
      <w:pPr>
        <w:tabs>
          <w:tab w:val="left" w:pos="7130"/>
        </w:tabs>
        <w:spacing w:after="0" w:line="240" w:lineRule="auto"/>
        <w:ind w:right="141"/>
      </w:pPr>
    </w:p>
    <w:p w14:paraId="24AE31FC" w14:textId="53D4109B" w:rsidR="008645B8" w:rsidRPr="00750817" w:rsidRDefault="00883639" w:rsidP="008645B8">
      <w:pPr>
        <w:tabs>
          <w:tab w:val="left" w:pos="7130"/>
        </w:tabs>
        <w:spacing w:after="0" w:line="240" w:lineRule="auto"/>
        <w:ind w:right="141"/>
      </w:pPr>
      <w:r>
        <w:t xml:space="preserve">Nuestras líneas de acción incluyen la creación de murales comunitarios, producción de materiales didácticos, formación de jóvenes líderes ecológicos, campamentos de capacitación de jóvenes y las fiestas de la tierra en las comunidades que propician la vinculación de los pobladores con su entorno y fortaleciendo la identidad local. </w:t>
      </w:r>
    </w:p>
    <w:p w14:paraId="7693E2FE" w14:textId="77777777" w:rsidR="008645B8" w:rsidRDefault="008645B8" w:rsidP="008645B8">
      <w:pPr>
        <w:tabs>
          <w:tab w:val="left" w:pos="7130"/>
        </w:tabs>
        <w:spacing w:after="0" w:line="240" w:lineRule="auto"/>
        <w:ind w:right="141"/>
        <w:rPr>
          <w:rFonts w:ascii="Helvetica" w:hAnsi="Helvetica" w:cs="Helvetica"/>
          <w:color w:val="3F3F3F"/>
          <w:shd w:val="clear" w:color="auto" w:fill="FFFFFF"/>
        </w:rPr>
      </w:pPr>
    </w:p>
    <w:p w14:paraId="24734731" w14:textId="77777777" w:rsidR="00735379" w:rsidRPr="008645B8" w:rsidRDefault="00735379" w:rsidP="00735379">
      <w:pPr>
        <w:tabs>
          <w:tab w:val="left" w:pos="7130"/>
        </w:tabs>
        <w:spacing w:after="0" w:line="240" w:lineRule="auto"/>
        <w:ind w:right="141"/>
      </w:pPr>
    </w:p>
    <w:p w14:paraId="740B4F0C" w14:textId="5F75BD04" w:rsidR="008C1854" w:rsidRPr="008645B8" w:rsidRDefault="00883639" w:rsidP="00FC3103">
      <w:pPr>
        <w:tabs>
          <w:tab w:val="left" w:pos="7130"/>
        </w:tabs>
        <w:spacing w:after="0" w:line="240" w:lineRule="auto"/>
        <w:ind w:right="141"/>
        <w:rPr>
          <w:b/>
        </w:rPr>
      </w:pPr>
      <w:r>
        <w:rPr>
          <w:b/>
        </w:rPr>
        <w:t>4</w:t>
      </w:r>
      <w:r w:rsidR="008C1854" w:rsidRPr="008645B8">
        <w:rPr>
          <w:b/>
        </w:rPr>
        <w:t xml:space="preserve">. Turismo rural. </w:t>
      </w:r>
    </w:p>
    <w:p w14:paraId="0718BEFE" w14:textId="7F9E7A4C" w:rsidR="008C1854" w:rsidRDefault="008C1854" w:rsidP="00FC3103">
      <w:pPr>
        <w:tabs>
          <w:tab w:val="left" w:pos="7130"/>
        </w:tabs>
        <w:spacing w:after="0" w:line="240" w:lineRule="auto"/>
        <w:ind w:right="141"/>
      </w:pPr>
      <w:r>
        <w:t xml:space="preserve">En esta estrategia se trabaja en el fortalecimiento de </w:t>
      </w:r>
      <w:r w:rsidR="00750817">
        <w:t>micro operadores</w:t>
      </w:r>
      <w:r>
        <w:t xml:space="preserve"> turísticos dueños de la tierra, para la construcción regional, interinstitucional y de todos los actores involucrados para establecer una visión como Destino Sustentable, reconocido por el Consejo Global para el Turismo Sostenible, a través de la capacitación en aspectos como atención al cliente, valorización </w:t>
      </w:r>
      <w:r w:rsidR="00B678E7">
        <w:t>del medio ambiente</w:t>
      </w:r>
      <w:r>
        <w:t xml:space="preserve"> y mejoramiento de la infraestructura y servicios. </w:t>
      </w:r>
    </w:p>
    <w:p w14:paraId="212AFACD" w14:textId="77777777" w:rsidR="008C1854" w:rsidRDefault="008C1854" w:rsidP="00FC3103">
      <w:pPr>
        <w:tabs>
          <w:tab w:val="left" w:pos="7130"/>
        </w:tabs>
        <w:spacing w:after="0" w:line="240" w:lineRule="auto"/>
        <w:ind w:right="141"/>
      </w:pPr>
    </w:p>
    <w:p w14:paraId="673F7104" w14:textId="3FE80B9B" w:rsidR="00605725" w:rsidRDefault="008C1854" w:rsidP="00FC3103">
      <w:pPr>
        <w:tabs>
          <w:tab w:val="left" w:pos="7130"/>
        </w:tabs>
        <w:spacing w:after="0" w:line="240" w:lineRule="auto"/>
        <w:ind w:right="141"/>
      </w:pPr>
      <w:r>
        <w:t xml:space="preserve">Actualmente operan 71 microempresas turísticas </w:t>
      </w:r>
      <w:r w:rsidR="00B678E7">
        <w:t xml:space="preserve">que hemos apoyado, </w:t>
      </w:r>
      <w:r>
        <w:t>incrementando los ingresos de las localidades, que participan en la vigilancia para un mínimo impacto a la naturaleza, convocando y dando seguimiento con las autoridades correspondientes para generar un crecimiento turístico ordenado c</w:t>
      </w:r>
      <w:r w:rsidR="00605725">
        <w:t>on base en una cultura regional.</w:t>
      </w:r>
    </w:p>
    <w:p w14:paraId="4412074F" w14:textId="5591ED45" w:rsidR="00605725" w:rsidRPr="00F3055E" w:rsidRDefault="00605725" w:rsidP="00FC3103">
      <w:pPr>
        <w:tabs>
          <w:tab w:val="left" w:pos="7130"/>
        </w:tabs>
        <w:spacing w:after="0" w:line="240" w:lineRule="auto"/>
        <w:ind w:right="141"/>
      </w:pPr>
      <w:r w:rsidRPr="00F3055E">
        <w:t xml:space="preserve">  </w:t>
      </w:r>
    </w:p>
    <w:p w14:paraId="08E44033" w14:textId="330FD07E" w:rsidR="008C1854" w:rsidRPr="00026A1F" w:rsidRDefault="00605725" w:rsidP="00FC3103">
      <w:pPr>
        <w:tabs>
          <w:tab w:val="left" w:pos="7130"/>
        </w:tabs>
        <w:spacing w:after="0" w:line="240" w:lineRule="auto"/>
        <w:ind w:right="141"/>
        <w:rPr>
          <w:rFonts w:asciiTheme="minorHAnsi" w:hAnsiTheme="minorHAnsi" w:cs="Helvetica"/>
          <w:color w:val="3F3F3F"/>
          <w:shd w:val="clear" w:color="auto" w:fill="FFFFFF"/>
        </w:rPr>
      </w:pPr>
      <w:r w:rsidRPr="00026A1F">
        <w:rPr>
          <w:rFonts w:asciiTheme="minorHAnsi" w:hAnsiTheme="minorHAnsi" w:cs="Helvetica"/>
          <w:color w:val="3F3F3F"/>
          <w:shd w:val="clear" w:color="auto" w:fill="FFFFFF"/>
        </w:rPr>
        <w:t>También trabajamos con los ayuntamientos de los cinco municipios de la Sierra Gorda y empresas turísticas para regular y garantizar la sostenibilidad del turismo en la Reserva de la Biosfera Sierra Gorda.</w:t>
      </w:r>
    </w:p>
    <w:p w14:paraId="587BBECF" w14:textId="77777777" w:rsidR="00B678E7" w:rsidRPr="00605725" w:rsidRDefault="00B678E7" w:rsidP="00FC3103">
      <w:pPr>
        <w:tabs>
          <w:tab w:val="left" w:pos="7130"/>
        </w:tabs>
        <w:spacing w:after="0" w:line="240" w:lineRule="auto"/>
        <w:ind w:right="141"/>
      </w:pPr>
    </w:p>
    <w:p w14:paraId="4B0F4C34" w14:textId="77777777" w:rsidR="00726968" w:rsidRPr="00605725" w:rsidRDefault="00726968" w:rsidP="00FC3103">
      <w:pPr>
        <w:tabs>
          <w:tab w:val="left" w:pos="7130"/>
        </w:tabs>
        <w:spacing w:after="0" w:line="240" w:lineRule="auto"/>
        <w:ind w:right="141"/>
        <w:rPr>
          <w:b/>
        </w:rPr>
      </w:pPr>
    </w:p>
    <w:p w14:paraId="514D5ED7" w14:textId="1DD59728" w:rsidR="008B6257" w:rsidRDefault="008B6257" w:rsidP="00FC3103">
      <w:pPr>
        <w:tabs>
          <w:tab w:val="left" w:pos="7130"/>
        </w:tabs>
        <w:spacing w:after="0" w:line="240" w:lineRule="auto"/>
        <w:ind w:right="141"/>
        <w:rPr>
          <w:b/>
        </w:rPr>
      </w:pPr>
      <w:r w:rsidRPr="008B6257">
        <w:rPr>
          <w:b/>
        </w:rPr>
        <w:t>Parte III. Medición de resultados</w:t>
      </w:r>
    </w:p>
    <w:p w14:paraId="0B5402FC" w14:textId="77777777" w:rsidR="00026A1F" w:rsidRDefault="00026A1F" w:rsidP="00026A1F">
      <w:pPr>
        <w:tabs>
          <w:tab w:val="left" w:pos="7130"/>
        </w:tabs>
        <w:spacing w:after="0" w:line="240" w:lineRule="auto"/>
        <w:ind w:right="141"/>
        <w:rPr>
          <w:b/>
        </w:rPr>
      </w:pPr>
    </w:p>
    <w:p w14:paraId="77CCEAAE" w14:textId="77777777" w:rsidR="00026A1F" w:rsidRPr="008645B8" w:rsidRDefault="00026A1F" w:rsidP="00026A1F">
      <w:pPr>
        <w:tabs>
          <w:tab w:val="left" w:pos="7130"/>
        </w:tabs>
        <w:spacing w:after="0" w:line="240" w:lineRule="auto"/>
        <w:ind w:right="141"/>
        <w:rPr>
          <w:b/>
        </w:rPr>
      </w:pPr>
      <w:r w:rsidRPr="008645B8">
        <w:rPr>
          <w:b/>
        </w:rPr>
        <w:t xml:space="preserve">1. Conservación y regeneración forestal. </w:t>
      </w:r>
    </w:p>
    <w:p w14:paraId="2E9B09BE" w14:textId="35B7D857" w:rsidR="008645B8" w:rsidRDefault="00026A1F" w:rsidP="00026A1F">
      <w:pPr>
        <w:pStyle w:val="ListParagraph"/>
        <w:numPr>
          <w:ilvl w:val="0"/>
          <w:numId w:val="7"/>
        </w:numPr>
        <w:rPr>
          <w:b/>
        </w:rPr>
      </w:pPr>
      <w:r>
        <w:lastRenderedPageBreak/>
        <w:t xml:space="preserve">Actualmente, 55 pequeños propietarios de bosques en la Reserva de la Biosfera Sierra Gorda reciben pagos por servicios </w:t>
      </w:r>
      <w:proofErr w:type="spellStart"/>
      <w:r>
        <w:t>ecosistémicos</w:t>
      </w:r>
      <w:proofErr w:type="spellEnd"/>
      <w:r>
        <w:t xml:space="preserve">, por secuestro de carbono en 3500 hectáreas.  </w:t>
      </w:r>
    </w:p>
    <w:p w14:paraId="16C0A6D5" w14:textId="77777777" w:rsidR="00026A1F" w:rsidRDefault="00026A1F" w:rsidP="00FC3103">
      <w:pPr>
        <w:tabs>
          <w:tab w:val="left" w:pos="7130"/>
        </w:tabs>
        <w:spacing w:after="0" w:line="240" w:lineRule="auto"/>
        <w:ind w:right="141"/>
        <w:rPr>
          <w:b/>
        </w:rPr>
      </w:pPr>
    </w:p>
    <w:p w14:paraId="24EB4A06" w14:textId="6985FEAF" w:rsidR="00726968" w:rsidRPr="0057731A" w:rsidRDefault="00026A1F" w:rsidP="0057731A">
      <w:pPr>
        <w:tabs>
          <w:tab w:val="left" w:pos="7130"/>
        </w:tabs>
        <w:spacing w:after="0" w:line="240" w:lineRule="auto"/>
        <w:ind w:right="141"/>
        <w:rPr>
          <w:b/>
        </w:rPr>
      </w:pPr>
      <w:r>
        <w:rPr>
          <w:b/>
        </w:rPr>
        <w:t>2</w:t>
      </w:r>
      <w:r w:rsidR="00726968">
        <w:rPr>
          <w:b/>
        </w:rPr>
        <w:t>.</w:t>
      </w:r>
      <w:r w:rsidR="00726968" w:rsidRPr="008645B8">
        <w:rPr>
          <w:b/>
        </w:rPr>
        <w:t xml:space="preserve"> Manejo regenerativo de suelos y producción de alimentos. </w:t>
      </w:r>
    </w:p>
    <w:p w14:paraId="1D534284" w14:textId="75B7E718" w:rsidR="00726968" w:rsidRDefault="00726968" w:rsidP="00726968">
      <w:pPr>
        <w:pStyle w:val="ListParagraph"/>
        <w:numPr>
          <w:ilvl w:val="0"/>
          <w:numId w:val="6"/>
        </w:numPr>
        <w:spacing w:line="240" w:lineRule="auto"/>
        <w:jc w:val="both"/>
        <w:rPr>
          <w:rFonts w:asciiTheme="minorHAnsi" w:hAnsiTheme="minorHAnsi" w:cs="Arial"/>
          <w:lang w:val="es-ES"/>
        </w:rPr>
      </w:pPr>
      <w:r w:rsidRPr="00726968">
        <w:rPr>
          <w:rFonts w:asciiTheme="minorHAnsi" w:hAnsiTheme="minorHAnsi" w:cs="Arial"/>
          <w:lang w:val="es-ES"/>
        </w:rPr>
        <w:t xml:space="preserve">Más </w:t>
      </w:r>
      <w:r w:rsidR="008645B8" w:rsidRPr="00726968">
        <w:rPr>
          <w:rFonts w:asciiTheme="minorHAnsi" w:hAnsiTheme="minorHAnsi" w:cs="Arial"/>
          <w:lang w:val="es-ES"/>
        </w:rPr>
        <w:t xml:space="preserve">de 5,000 productores agropecuarios y técnicos han recibido capacitación en torno al manejo regenerativo y restauración de suelos. </w:t>
      </w:r>
      <w:r w:rsidRPr="00726968">
        <w:rPr>
          <w:rFonts w:asciiTheme="minorHAnsi" w:hAnsiTheme="minorHAnsi" w:cs="Arial"/>
        </w:rPr>
        <w:t>Desde 2016, se han llevado a cabo 5 diplomados</w:t>
      </w:r>
    </w:p>
    <w:p w14:paraId="087ABE24" w14:textId="73FF3B1B" w:rsidR="00726968" w:rsidRDefault="008645B8" w:rsidP="00726968">
      <w:pPr>
        <w:pStyle w:val="ListParagraph"/>
        <w:numPr>
          <w:ilvl w:val="0"/>
          <w:numId w:val="6"/>
        </w:numPr>
        <w:spacing w:line="240" w:lineRule="auto"/>
        <w:jc w:val="both"/>
        <w:rPr>
          <w:rFonts w:asciiTheme="minorHAnsi" w:hAnsiTheme="minorHAnsi" w:cs="Arial"/>
          <w:lang w:val="es-ES"/>
        </w:rPr>
      </w:pPr>
      <w:r w:rsidRPr="00726968">
        <w:rPr>
          <w:rFonts w:asciiTheme="minorHAnsi" w:hAnsiTheme="minorHAnsi" w:cs="Arial"/>
          <w:lang w:val="es-ES"/>
        </w:rPr>
        <w:t>25 ranchos pilotos ubicados en el estado de Querétaro, Chihuahua, Sonora, Guanajuato y San Luis Potosí</w:t>
      </w:r>
      <w:r w:rsidR="00726968">
        <w:rPr>
          <w:rFonts w:asciiTheme="minorHAnsi" w:hAnsiTheme="minorHAnsi" w:cs="Arial"/>
          <w:lang w:val="es-ES"/>
        </w:rPr>
        <w:t xml:space="preserve"> implementan prácticas regenerativas, </w:t>
      </w:r>
      <w:r w:rsidR="00726968">
        <w:t>sumando un total de 114,079 has de las cuales 98,775.7 corresponden a pastizales del estado de Chihuahua, 10,900 al estado de Sonora, 3,731 a Guanajuato, 104 a San Luis Potosí y 568.3 a ranchos localizados en la Sierra Gorda Queretana.</w:t>
      </w:r>
    </w:p>
    <w:p w14:paraId="5209D3A8" w14:textId="77777777" w:rsidR="00726968" w:rsidRDefault="00726968" w:rsidP="00726968">
      <w:pPr>
        <w:pStyle w:val="ListParagraph"/>
        <w:numPr>
          <w:ilvl w:val="0"/>
          <w:numId w:val="6"/>
        </w:numPr>
        <w:spacing w:line="240" w:lineRule="auto"/>
        <w:jc w:val="both"/>
        <w:rPr>
          <w:rFonts w:asciiTheme="minorHAnsi" w:hAnsiTheme="minorHAnsi" w:cs="Arial"/>
          <w:lang w:val="es-ES"/>
        </w:rPr>
      </w:pPr>
      <w:r>
        <w:rPr>
          <w:rFonts w:asciiTheme="minorHAnsi" w:hAnsiTheme="minorHAnsi" w:cs="Arial"/>
          <w:lang w:val="es-ES"/>
        </w:rPr>
        <w:t>O</w:t>
      </w:r>
      <w:r w:rsidR="008645B8" w:rsidRPr="00726968">
        <w:rPr>
          <w:rFonts w:asciiTheme="minorHAnsi" w:hAnsiTheme="minorHAnsi" w:cs="Arial"/>
          <w:lang w:val="es-ES"/>
        </w:rPr>
        <w:t>peramos una red de educadores integrada por más de 100 técnicos y productores egresados de los diferentes diplomados en Manejo Holístico de Sierra Gorda, quienes ya se encuentran implementando la metodología en sus áreas de trabajo.</w:t>
      </w:r>
    </w:p>
    <w:p w14:paraId="35A343A0" w14:textId="35432B78" w:rsidR="00726968" w:rsidRPr="00726968" w:rsidRDefault="00726968" w:rsidP="00726968">
      <w:pPr>
        <w:pStyle w:val="ListParagraph"/>
        <w:numPr>
          <w:ilvl w:val="0"/>
          <w:numId w:val="6"/>
        </w:numPr>
        <w:spacing w:line="240" w:lineRule="auto"/>
        <w:jc w:val="both"/>
        <w:rPr>
          <w:rFonts w:asciiTheme="minorHAnsi" w:hAnsiTheme="minorHAnsi" w:cs="Arial"/>
          <w:lang w:val="es-ES"/>
        </w:rPr>
      </w:pPr>
      <w:r w:rsidRPr="00726968">
        <w:rPr>
          <w:rFonts w:asciiTheme="minorHAnsi" w:hAnsiTheme="minorHAnsi" w:cs="Arial"/>
          <w:lang w:val="es-ES"/>
        </w:rPr>
        <w:t xml:space="preserve">En 2018, </w:t>
      </w:r>
      <w:r>
        <w:t xml:space="preserve">capacitamos a un total de 286 productores agropecuarios y hortelanas. Quienes recibieron talleres sobre el establecimiento de huertos </w:t>
      </w:r>
      <w:proofErr w:type="spellStart"/>
      <w:r>
        <w:t>biointensivos</w:t>
      </w:r>
      <w:proofErr w:type="spellEnd"/>
      <w:r>
        <w:t xml:space="preserve">, elaboración de </w:t>
      </w:r>
      <w:proofErr w:type="spellStart"/>
      <w:r>
        <w:t>biofertilizantes</w:t>
      </w:r>
      <w:proofErr w:type="spellEnd"/>
      <w:r>
        <w:t xml:space="preserve"> y compostas, así como la importancia de la vida en el suelo. Con aquellos productores que ya han implementado la metodología realizamos  un total de 300 visitas de asistencia técnica para dar continuidad al trabajo en campo. Los acompañamos durante el establecimiento de nuevos cultivos tanto en parcelas agrícolas como en huertos, así como en el diseño y trazo de cercos para el manejo del ganado. </w:t>
      </w:r>
    </w:p>
    <w:p w14:paraId="3B02B185" w14:textId="71611D05" w:rsidR="00726968" w:rsidRDefault="00726968" w:rsidP="00726968">
      <w:pPr>
        <w:pStyle w:val="ListParagraph"/>
        <w:spacing w:line="240" w:lineRule="auto"/>
        <w:jc w:val="both"/>
        <w:rPr>
          <w:rFonts w:asciiTheme="minorHAnsi" w:hAnsiTheme="minorHAnsi" w:cs="Arial"/>
          <w:lang w:val="es-ES"/>
        </w:rPr>
      </w:pPr>
    </w:p>
    <w:p w14:paraId="07273288" w14:textId="77777777" w:rsidR="00BE48D6" w:rsidRDefault="00BE48D6" w:rsidP="00726968">
      <w:pPr>
        <w:pStyle w:val="ListParagraph"/>
        <w:spacing w:line="240" w:lineRule="auto"/>
        <w:jc w:val="both"/>
        <w:rPr>
          <w:rFonts w:asciiTheme="minorHAnsi" w:hAnsiTheme="minorHAnsi" w:cs="Arial"/>
          <w:lang w:val="es-ES"/>
        </w:rPr>
      </w:pPr>
    </w:p>
    <w:p w14:paraId="05CA3D03" w14:textId="77777777" w:rsidR="00BE48D6" w:rsidRDefault="00BE48D6" w:rsidP="00726968">
      <w:pPr>
        <w:pStyle w:val="ListParagraph"/>
        <w:spacing w:line="240" w:lineRule="auto"/>
        <w:jc w:val="both"/>
        <w:rPr>
          <w:rFonts w:asciiTheme="minorHAnsi" w:hAnsiTheme="minorHAnsi" w:cs="Arial"/>
          <w:lang w:val="es-ES"/>
        </w:rPr>
      </w:pPr>
    </w:p>
    <w:p w14:paraId="1417DEEA" w14:textId="77777777" w:rsidR="00BE48D6" w:rsidRDefault="00BE48D6" w:rsidP="00726968">
      <w:pPr>
        <w:pStyle w:val="ListParagraph"/>
        <w:spacing w:line="240" w:lineRule="auto"/>
        <w:jc w:val="both"/>
        <w:rPr>
          <w:rFonts w:asciiTheme="minorHAnsi" w:hAnsiTheme="minorHAnsi" w:cs="Arial"/>
          <w:lang w:val="es-ES"/>
        </w:rPr>
      </w:pPr>
    </w:p>
    <w:p w14:paraId="72CF6E27" w14:textId="77777777" w:rsidR="00BE48D6" w:rsidRPr="00726968" w:rsidRDefault="00BE48D6" w:rsidP="00726968">
      <w:pPr>
        <w:pStyle w:val="ListParagraph"/>
        <w:spacing w:line="240" w:lineRule="auto"/>
        <w:jc w:val="both"/>
        <w:rPr>
          <w:rFonts w:asciiTheme="minorHAnsi" w:hAnsiTheme="minorHAnsi" w:cs="Arial"/>
          <w:lang w:val="es-ES"/>
        </w:rPr>
      </w:pPr>
    </w:p>
    <w:p w14:paraId="7CC3901D" w14:textId="77777777" w:rsidR="0057731A" w:rsidRDefault="0057731A" w:rsidP="0057731A">
      <w:pPr>
        <w:tabs>
          <w:tab w:val="left" w:pos="7130"/>
        </w:tabs>
        <w:spacing w:after="0" w:line="240" w:lineRule="auto"/>
        <w:ind w:right="141"/>
        <w:rPr>
          <w:b/>
        </w:rPr>
      </w:pPr>
      <w:r>
        <w:rPr>
          <w:b/>
        </w:rPr>
        <w:t>3. Educación ambiental</w:t>
      </w:r>
      <w:r w:rsidRPr="0057731A">
        <w:rPr>
          <w:b/>
        </w:rPr>
        <w:t xml:space="preserve">: </w:t>
      </w:r>
    </w:p>
    <w:p w14:paraId="4A598CB8" w14:textId="77777777" w:rsidR="0057731A" w:rsidRDefault="0057731A" w:rsidP="0057731A">
      <w:pPr>
        <w:tabs>
          <w:tab w:val="left" w:pos="7130"/>
        </w:tabs>
        <w:spacing w:after="0" w:line="240" w:lineRule="auto"/>
        <w:ind w:right="141"/>
        <w:rPr>
          <w:b/>
        </w:rPr>
      </w:pPr>
    </w:p>
    <w:p w14:paraId="6992FFD3" w14:textId="77777777" w:rsidR="0057731A" w:rsidRDefault="0057731A" w:rsidP="0057731A">
      <w:pPr>
        <w:tabs>
          <w:tab w:val="left" w:pos="7130"/>
        </w:tabs>
        <w:spacing w:after="0" w:line="240" w:lineRule="auto"/>
        <w:ind w:right="141"/>
        <w:rPr>
          <w:b/>
        </w:rPr>
      </w:pPr>
      <w:r w:rsidRPr="0057731A">
        <w:rPr>
          <w:b/>
        </w:rPr>
        <w:t xml:space="preserve">Plantación de árboles en escuelas y comunidades, financiada por </w:t>
      </w:r>
      <w:proofErr w:type="spellStart"/>
      <w:r w:rsidRPr="0057731A">
        <w:rPr>
          <w:b/>
        </w:rPr>
        <w:t>Earth</w:t>
      </w:r>
      <w:proofErr w:type="spellEnd"/>
      <w:r w:rsidRPr="0057731A">
        <w:rPr>
          <w:b/>
        </w:rPr>
        <w:t xml:space="preserve"> Day Network</w:t>
      </w:r>
    </w:p>
    <w:p w14:paraId="44D20840" w14:textId="77777777" w:rsidR="0057731A" w:rsidRDefault="0057731A" w:rsidP="0057731A">
      <w:pPr>
        <w:tabs>
          <w:tab w:val="left" w:pos="7130"/>
        </w:tabs>
        <w:spacing w:after="0" w:line="240" w:lineRule="auto"/>
        <w:ind w:right="141"/>
        <w:rPr>
          <w:b/>
        </w:rPr>
      </w:pPr>
    </w:p>
    <w:p w14:paraId="7BF2069C" w14:textId="77777777" w:rsidR="0057731A" w:rsidRDefault="00726968" w:rsidP="0057731A">
      <w:pPr>
        <w:tabs>
          <w:tab w:val="left" w:pos="7130"/>
        </w:tabs>
        <w:spacing w:after="0" w:line="240" w:lineRule="auto"/>
        <w:ind w:right="141"/>
        <w:rPr>
          <w:rFonts w:asciiTheme="minorHAnsi" w:hAnsiTheme="minorHAnsi"/>
        </w:rPr>
      </w:pPr>
      <w:proofErr w:type="spellStart"/>
      <w:r w:rsidRPr="0057731A">
        <w:rPr>
          <w:rFonts w:asciiTheme="minorHAnsi" w:hAnsiTheme="minorHAnsi"/>
          <w:b/>
        </w:rPr>
        <w:t>Number</w:t>
      </w:r>
      <w:proofErr w:type="spellEnd"/>
      <w:r w:rsidRPr="0057731A">
        <w:rPr>
          <w:rFonts w:asciiTheme="minorHAnsi" w:hAnsiTheme="minorHAnsi"/>
          <w:b/>
        </w:rPr>
        <w:t xml:space="preserve"> of </w:t>
      </w:r>
      <w:proofErr w:type="spellStart"/>
      <w:r w:rsidRPr="0057731A">
        <w:rPr>
          <w:rFonts w:asciiTheme="minorHAnsi" w:hAnsiTheme="minorHAnsi"/>
          <w:b/>
        </w:rPr>
        <w:t>Trees</w:t>
      </w:r>
      <w:proofErr w:type="spellEnd"/>
      <w:r w:rsidRPr="0057731A">
        <w:rPr>
          <w:rFonts w:asciiTheme="minorHAnsi" w:hAnsiTheme="minorHAnsi"/>
          <w:b/>
        </w:rPr>
        <w:t xml:space="preserve"> </w:t>
      </w:r>
      <w:proofErr w:type="spellStart"/>
      <w:r w:rsidRPr="0057731A">
        <w:rPr>
          <w:rFonts w:asciiTheme="minorHAnsi" w:hAnsiTheme="minorHAnsi"/>
          <w:b/>
        </w:rPr>
        <w:t>Planted</w:t>
      </w:r>
      <w:proofErr w:type="spellEnd"/>
      <w:r w:rsidRPr="0057731A">
        <w:rPr>
          <w:rFonts w:asciiTheme="minorHAnsi" w:hAnsiTheme="minorHAnsi"/>
          <w:b/>
        </w:rPr>
        <w:t xml:space="preserve">: </w:t>
      </w:r>
      <w:r w:rsidRPr="0057731A">
        <w:rPr>
          <w:rFonts w:asciiTheme="minorHAnsi" w:hAnsiTheme="minorHAnsi"/>
        </w:rPr>
        <w:t>30,000</w:t>
      </w:r>
    </w:p>
    <w:p w14:paraId="5F6B80E4" w14:textId="77777777" w:rsidR="0057731A" w:rsidRDefault="0057731A" w:rsidP="0057731A">
      <w:pPr>
        <w:tabs>
          <w:tab w:val="left" w:pos="7130"/>
        </w:tabs>
        <w:spacing w:after="0" w:line="240" w:lineRule="auto"/>
        <w:ind w:right="141"/>
        <w:rPr>
          <w:b/>
        </w:rPr>
      </w:pPr>
    </w:p>
    <w:p w14:paraId="068EA049" w14:textId="77777777" w:rsidR="0057731A" w:rsidRDefault="00726968" w:rsidP="0057731A">
      <w:pPr>
        <w:tabs>
          <w:tab w:val="left" w:pos="7130"/>
        </w:tabs>
        <w:spacing w:after="0" w:line="240" w:lineRule="auto"/>
        <w:ind w:right="141"/>
        <w:rPr>
          <w:rFonts w:asciiTheme="minorHAnsi" w:hAnsiTheme="minorHAnsi"/>
        </w:rPr>
      </w:pPr>
      <w:proofErr w:type="spellStart"/>
      <w:r w:rsidRPr="0057731A">
        <w:rPr>
          <w:rFonts w:asciiTheme="minorHAnsi" w:hAnsiTheme="minorHAnsi"/>
          <w:b/>
          <w:position w:val="-1"/>
        </w:rPr>
        <w:t>Species</w:t>
      </w:r>
      <w:proofErr w:type="spellEnd"/>
      <w:r w:rsidRPr="0057731A">
        <w:rPr>
          <w:rFonts w:asciiTheme="minorHAnsi" w:hAnsiTheme="minorHAnsi"/>
          <w:b/>
          <w:position w:val="-1"/>
        </w:rPr>
        <w:t xml:space="preserve">: </w:t>
      </w:r>
      <w:r w:rsidRPr="0057731A">
        <w:rPr>
          <w:rFonts w:asciiTheme="minorHAnsi" w:hAnsiTheme="minorHAnsi"/>
          <w:position w:val="-1"/>
        </w:rPr>
        <w:t xml:space="preserve">White </w:t>
      </w:r>
      <w:proofErr w:type="spellStart"/>
      <w:r w:rsidRPr="0057731A">
        <w:rPr>
          <w:rFonts w:asciiTheme="minorHAnsi" w:hAnsiTheme="minorHAnsi"/>
          <w:position w:val="-1"/>
        </w:rPr>
        <w:t>cedar</w:t>
      </w:r>
      <w:proofErr w:type="spellEnd"/>
      <w:r w:rsidRPr="0057731A">
        <w:rPr>
          <w:rFonts w:asciiTheme="minorHAnsi" w:hAnsiTheme="minorHAnsi"/>
          <w:position w:val="-1"/>
        </w:rPr>
        <w:t xml:space="preserve"> (</w:t>
      </w:r>
      <w:proofErr w:type="spellStart"/>
      <w:r w:rsidRPr="0057731A">
        <w:rPr>
          <w:rFonts w:asciiTheme="minorHAnsi" w:hAnsiTheme="minorHAnsi"/>
          <w:i/>
        </w:rPr>
        <w:t>Cupressus</w:t>
      </w:r>
      <w:proofErr w:type="spellEnd"/>
      <w:r w:rsidRPr="0057731A">
        <w:rPr>
          <w:rFonts w:asciiTheme="minorHAnsi" w:hAnsiTheme="minorHAnsi"/>
          <w:i/>
        </w:rPr>
        <w:t xml:space="preserve"> </w:t>
      </w:r>
      <w:proofErr w:type="spellStart"/>
      <w:r w:rsidRPr="0057731A">
        <w:rPr>
          <w:rFonts w:asciiTheme="minorHAnsi" w:hAnsiTheme="minorHAnsi"/>
          <w:i/>
        </w:rPr>
        <w:t>lusitanica</w:t>
      </w:r>
      <w:proofErr w:type="spellEnd"/>
      <w:r w:rsidRPr="0057731A">
        <w:rPr>
          <w:rFonts w:asciiTheme="minorHAnsi" w:hAnsiTheme="minorHAnsi"/>
        </w:rPr>
        <w:t xml:space="preserve">), royal </w:t>
      </w:r>
      <w:proofErr w:type="spellStart"/>
      <w:r w:rsidRPr="0057731A">
        <w:rPr>
          <w:rFonts w:asciiTheme="minorHAnsi" w:hAnsiTheme="minorHAnsi"/>
        </w:rPr>
        <w:t>poinciana</w:t>
      </w:r>
      <w:proofErr w:type="spellEnd"/>
      <w:r w:rsidRPr="0057731A">
        <w:rPr>
          <w:rFonts w:asciiTheme="minorHAnsi" w:hAnsiTheme="minorHAnsi"/>
        </w:rPr>
        <w:t xml:space="preserve"> (</w:t>
      </w:r>
      <w:proofErr w:type="spellStart"/>
      <w:r w:rsidRPr="0057731A">
        <w:rPr>
          <w:rFonts w:asciiTheme="minorHAnsi" w:hAnsiTheme="minorHAnsi"/>
          <w:i/>
        </w:rPr>
        <w:t>Denolix</w:t>
      </w:r>
      <w:proofErr w:type="spellEnd"/>
      <w:r w:rsidRPr="0057731A">
        <w:rPr>
          <w:rFonts w:asciiTheme="minorHAnsi" w:hAnsiTheme="minorHAnsi"/>
          <w:i/>
        </w:rPr>
        <w:t xml:space="preserve"> regia</w:t>
      </w:r>
      <w:r w:rsidRPr="0057731A">
        <w:rPr>
          <w:rFonts w:asciiTheme="minorHAnsi" w:hAnsiTheme="minorHAnsi"/>
        </w:rPr>
        <w:t xml:space="preserve">), </w:t>
      </w:r>
      <w:proofErr w:type="spellStart"/>
      <w:r w:rsidRPr="0057731A">
        <w:rPr>
          <w:rFonts w:asciiTheme="minorHAnsi" w:hAnsiTheme="minorHAnsi"/>
        </w:rPr>
        <w:t>european</w:t>
      </w:r>
      <w:proofErr w:type="spellEnd"/>
      <w:r w:rsidRPr="0057731A">
        <w:rPr>
          <w:rFonts w:asciiTheme="minorHAnsi" w:hAnsiTheme="minorHAnsi"/>
        </w:rPr>
        <w:t xml:space="preserve"> </w:t>
      </w:r>
      <w:proofErr w:type="spellStart"/>
      <w:r w:rsidRPr="0057731A">
        <w:rPr>
          <w:rFonts w:asciiTheme="minorHAnsi" w:hAnsiTheme="minorHAnsi"/>
        </w:rPr>
        <w:t>ash</w:t>
      </w:r>
      <w:proofErr w:type="spellEnd"/>
      <w:r w:rsidRPr="0057731A">
        <w:rPr>
          <w:rFonts w:asciiTheme="minorHAnsi" w:hAnsiTheme="minorHAnsi"/>
        </w:rPr>
        <w:t xml:space="preserve"> (</w:t>
      </w:r>
      <w:proofErr w:type="spellStart"/>
      <w:r w:rsidRPr="0057731A">
        <w:rPr>
          <w:rFonts w:asciiTheme="minorHAnsi" w:hAnsiTheme="minorHAnsi"/>
          <w:i/>
        </w:rPr>
        <w:t>Fraxinus</w:t>
      </w:r>
      <w:proofErr w:type="spellEnd"/>
      <w:r w:rsidRPr="0057731A">
        <w:rPr>
          <w:rFonts w:asciiTheme="minorHAnsi" w:hAnsiTheme="minorHAnsi"/>
          <w:i/>
        </w:rPr>
        <w:t xml:space="preserve"> </w:t>
      </w:r>
      <w:proofErr w:type="spellStart"/>
      <w:r w:rsidRPr="0057731A">
        <w:rPr>
          <w:rFonts w:asciiTheme="minorHAnsi" w:hAnsiTheme="minorHAnsi"/>
          <w:i/>
        </w:rPr>
        <w:t>excelsior</w:t>
      </w:r>
      <w:proofErr w:type="spellEnd"/>
      <w:r w:rsidRPr="0057731A">
        <w:rPr>
          <w:rFonts w:asciiTheme="minorHAnsi" w:hAnsiTheme="minorHAnsi"/>
          <w:i/>
        </w:rPr>
        <w:t>)</w:t>
      </w:r>
      <w:r w:rsidRPr="0057731A">
        <w:rPr>
          <w:rFonts w:asciiTheme="minorHAnsi" w:hAnsiTheme="minorHAnsi"/>
        </w:rPr>
        <w:t>, jacaranda (</w:t>
      </w:r>
      <w:r w:rsidRPr="0057731A">
        <w:rPr>
          <w:rFonts w:asciiTheme="minorHAnsi" w:hAnsiTheme="minorHAnsi"/>
          <w:i/>
        </w:rPr>
        <w:t xml:space="preserve">Jacaranda </w:t>
      </w:r>
      <w:proofErr w:type="spellStart"/>
      <w:r w:rsidRPr="0057731A">
        <w:rPr>
          <w:rFonts w:asciiTheme="minorHAnsi" w:hAnsiTheme="minorHAnsi"/>
          <w:i/>
        </w:rPr>
        <w:t>mimosifolia</w:t>
      </w:r>
      <w:proofErr w:type="spellEnd"/>
      <w:r w:rsidRPr="0057731A">
        <w:rPr>
          <w:rFonts w:asciiTheme="minorHAnsi" w:hAnsiTheme="minorHAnsi"/>
          <w:i/>
        </w:rPr>
        <w:t xml:space="preserve">), </w:t>
      </w:r>
      <w:proofErr w:type="spellStart"/>
      <w:r w:rsidRPr="0057731A">
        <w:rPr>
          <w:rFonts w:asciiTheme="minorHAnsi" w:hAnsiTheme="minorHAnsi"/>
        </w:rPr>
        <w:t>white</w:t>
      </w:r>
      <w:proofErr w:type="spellEnd"/>
      <w:r w:rsidRPr="0057731A">
        <w:rPr>
          <w:rFonts w:asciiTheme="minorHAnsi" w:hAnsiTheme="minorHAnsi"/>
        </w:rPr>
        <w:t xml:space="preserve"> </w:t>
      </w:r>
      <w:proofErr w:type="spellStart"/>
      <w:r w:rsidRPr="0057731A">
        <w:rPr>
          <w:rFonts w:asciiTheme="minorHAnsi" w:hAnsiTheme="minorHAnsi"/>
        </w:rPr>
        <w:t>leadtree</w:t>
      </w:r>
      <w:proofErr w:type="spellEnd"/>
      <w:r w:rsidRPr="0057731A">
        <w:rPr>
          <w:rFonts w:asciiTheme="minorHAnsi" w:hAnsiTheme="minorHAnsi"/>
        </w:rPr>
        <w:t xml:space="preserve"> (</w:t>
      </w:r>
      <w:proofErr w:type="spellStart"/>
      <w:r w:rsidRPr="0057731A">
        <w:rPr>
          <w:rFonts w:asciiTheme="minorHAnsi" w:hAnsiTheme="minorHAnsi"/>
          <w:i/>
        </w:rPr>
        <w:t>Leucaena</w:t>
      </w:r>
      <w:proofErr w:type="spellEnd"/>
      <w:r w:rsidRPr="0057731A">
        <w:rPr>
          <w:rFonts w:asciiTheme="minorHAnsi" w:hAnsiTheme="minorHAnsi"/>
          <w:i/>
        </w:rPr>
        <w:t xml:space="preserve"> </w:t>
      </w:r>
      <w:proofErr w:type="spellStart"/>
      <w:r w:rsidRPr="0057731A">
        <w:rPr>
          <w:rFonts w:asciiTheme="minorHAnsi" w:hAnsiTheme="minorHAnsi"/>
          <w:i/>
        </w:rPr>
        <w:t>leucocephala</w:t>
      </w:r>
      <w:proofErr w:type="spellEnd"/>
      <w:r w:rsidRPr="0057731A">
        <w:rPr>
          <w:rFonts w:asciiTheme="minorHAnsi" w:hAnsiTheme="minorHAnsi"/>
        </w:rPr>
        <w:t xml:space="preserve">), </w:t>
      </w:r>
      <w:proofErr w:type="spellStart"/>
      <w:r w:rsidRPr="0057731A">
        <w:rPr>
          <w:rFonts w:asciiTheme="minorHAnsi" w:hAnsiTheme="minorHAnsi"/>
        </w:rPr>
        <w:t>Mexican</w:t>
      </w:r>
      <w:proofErr w:type="spellEnd"/>
      <w:r w:rsidRPr="0057731A">
        <w:rPr>
          <w:rFonts w:asciiTheme="minorHAnsi" w:hAnsiTheme="minorHAnsi"/>
        </w:rPr>
        <w:t xml:space="preserve"> fan </w:t>
      </w:r>
      <w:proofErr w:type="spellStart"/>
      <w:r w:rsidRPr="0057731A">
        <w:rPr>
          <w:rFonts w:asciiTheme="minorHAnsi" w:hAnsiTheme="minorHAnsi"/>
        </w:rPr>
        <w:t>palm</w:t>
      </w:r>
      <w:proofErr w:type="spellEnd"/>
      <w:r w:rsidRPr="0057731A">
        <w:rPr>
          <w:rFonts w:asciiTheme="minorHAnsi" w:hAnsiTheme="minorHAnsi"/>
        </w:rPr>
        <w:t xml:space="preserve"> (</w:t>
      </w:r>
      <w:proofErr w:type="spellStart"/>
      <w:r w:rsidRPr="0057731A">
        <w:rPr>
          <w:rFonts w:asciiTheme="minorHAnsi" w:hAnsiTheme="minorHAnsi"/>
          <w:i/>
        </w:rPr>
        <w:t>Washingtonia</w:t>
      </w:r>
      <w:proofErr w:type="spellEnd"/>
      <w:r w:rsidRPr="0057731A">
        <w:rPr>
          <w:rFonts w:asciiTheme="minorHAnsi" w:hAnsiTheme="minorHAnsi"/>
          <w:i/>
        </w:rPr>
        <w:t xml:space="preserve"> robusta</w:t>
      </w:r>
      <w:r w:rsidRPr="0057731A">
        <w:rPr>
          <w:rFonts w:asciiTheme="minorHAnsi" w:hAnsiTheme="minorHAnsi"/>
        </w:rPr>
        <w:t xml:space="preserve">), </w:t>
      </w:r>
      <w:proofErr w:type="spellStart"/>
      <w:r w:rsidRPr="0057731A">
        <w:rPr>
          <w:rFonts w:asciiTheme="minorHAnsi" w:hAnsiTheme="minorHAnsi"/>
        </w:rPr>
        <w:t>golden</w:t>
      </w:r>
      <w:proofErr w:type="spellEnd"/>
      <w:r w:rsidRPr="0057731A">
        <w:rPr>
          <w:rFonts w:asciiTheme="minorHAnsi" w:hAnsiTheme="minorHAnsi"/>
        </w:rPr>
        <w:t xml:space="preserve"> </w:t>
      </w:r>
      <w:proofErr w:type="spellStart"/>
      <w:r w:rsidRPr="0057731A">
        <w:rPr>
          <w:rFonts w:asciiTheme="minorHAnsi" w:hAnsiTheme="minorHAnsi"/>
        </w:rPr>
        <w:t>cane</w:t>
      </w:r>
      <w:proofErr w:type="spellEnd"/>
      <w:r w:rsidRPr="0057731A">
        <w:rPr>
          <w:rFonts w:asciiTheme="minorHAnsi" w:hAnsiTheme="minorHAnsi"/>
        </w:rPr>
        <w:t xml:space="preserve"> </w:t>
      </w:r>
      <w:proofErr w:type="spellStart"/>
      <w:r w:rsidRPr="0057731A">
        <w:rPr>
          <w:rFonts w:asciiTheme="minorHAnsi" w:hAnsiTheme="minorHAnsi"/>
        </w:rPr>
        <w:t>palm</w:t>
      </w:r>
      <w:proofErr w:type="spellEnd"/>
      <w:r w:rsidRPr="0057731A">
        <w:rPr>
          <w:rFonts w:asciiTheme="minorHAnsi" w:hAnsiTheme="minorHAnsi"/>
        </w:rPr>
        <w:t xml:space="preserve"> (</w:t>
      </w:r>
      <w:proofErr w:type="spellStart"/>
      <w:r w:rsidRPr="0057731A">
        <w:rPr>
          <w:rFonts w:asciiTheme="minorHAnsi" w:hAnsiTheme="minorHAnsi"/>
          <w:i/>
        </w:rPr>
        <w:t>Dypsis</w:t>
      </w:r>
      <w:proofErr w:type="spellEnd"/>
      <w:r w:rsidRPr="0057731A">
        <w:rPr>
          <w:rFonts w:asciiTheme="minorHAnsi" w:hAnsiTheme="minorHAnsi"/>
          <w:i/>
        </w:rPr>
        <w:t xml:space="preserve"> </w:t>
      </w:r>
      <w:proofErr w:type="spellStart"/>
      <w:r w:rsidRPr="0057731A">
        <w:rPr>
          <w:rFonts w:asciiTheme="minorHAnsi" w:hAnsiTheme="minorHAnsi"/>
          <w:i/>
        </w:rPr>
        <w:t>lutescens</w:t>
      </w:r>
      <w:proofErr w:type="spellEnd"/>
      <w:r w:rsidRPr="0057731A">
        <w:rPr>
          <w:rFonts w:asciiTheme="minorHAnsi" w:hAnsiTheme="minorHAnsi"/>
        </w:rPr>
        <w:t xml:space="preserve">), </w:t>
      </w:r>
      <w:proofErr w:type="spellStart"/>
      <w:r w:rsidRPr="0057731A">
        <w:rPr>
          <w:rFonts w:asciiTheme="minorHAnsi" w:hAnsiTheme="minorHAnsi"/>
        </w:rPr>
        <w:t>parlour</w:t>
      </w:r>
      <w:proofErr w:type="spellEnd"/>
      <w:r w:rsidRPr="0057731A">
        <w:rPr>
          <w:rFonts w:asciiTheme="minorHAnsi" w:hAnsiTheme="minorHAnsi"/>
        </w:rPr>
        <w:t xml:space="preserve"> </w:t>
      </w:r>
      <w:proofErr w:type="spellStart"/>
      <w:r w:rsidRPr="0057731A">
        <w:rPr>
          <w:rFonts w:asciiTheme="minorHAnsi" w:hAnsiTheme="minorHAnsi"/>
        </w:rPr>
        <w:t>palm</w:t>
      </w:r>
      <w:proofErr w:type="spellEnd"/>
      <w:r w:rsidRPr="0057731A">
        <w:rPr>
          <w:rFonts w:asciiTheme="minorHAnsi" w:hAnsiTheme="minorHAnsi"/>
        </w:rPr>
        <w:t xml:space="preserve"> (</w:t>
      </w:r>
      <w:proofErr w:type="spellStart"/>
      <w:r w:rsidRPr="0057731A">
        <w:rPr>
          <w:rFonts w:asciiTheme="minorHAnsi" w:hAnsiTheme="minorHAnsi"/>
          <w:i/>
        </w:rPr>
        <w:t>Chamaedorea</w:t>
      </w:r>
      <w:proofErr w:type="spellEnd"/>
      <w:r w:rsidRPr="0057731A">
        <w:rPr>
          <w:rFonts w:asciiTheme="minorHAnsi" w:hAnsiTheme="minorHAnsi"/>
          <w:i/>
        </w:rPr>
        <w:t xml:space="preserve"> </w:t>
      </w:r>
      <w:proofErr w:type="spellStart"/>
      <w:r w:rsidRPr="0057731A">
        <w:rPr>
          <w:rFonts w:asciiTheme="minorHAnsi" w:hAnsiTheme="minorHAnsi"/>
          <w:i/>
        </w:rPr>
        <w:t>elegans</w:t>
      </w:r>
      <w:proofErr w:type="spellEnd"/>
      <w:r w:rsidRPr="0057731A">
        <w:rPr>
          <w:rFonts w:asciiTheme="minorHAnsi" w:hAnsiTheme="minorHAnsi"/>
        </w:rPr>
        <w:t xml:space="preserve">), date </w:t>
      </w:r>
      <w:proofErr w:type="spellStart"/>
      <w:r w:rsidRPr="0057731A">
        <w:rPr>
          <w:rFonts w:asciiTheme="minorHAnsi" w:hAnsiTheme="minorHAnsi"/>
        </w:rPr>
        <w:t>palm</w:t>
      </w:r>
      <w:proofErr w:type="spellEnd"/>
      <w:r w:rsidRPr="0057731A">
        <w:rPr>
          <w:rFonts w:asciiTheme="minorHAnsi" w:hAnsiTheme="minorHAnsi"/>
        </w:rPr>
        <w:t xml:space="preserve"> (</w:t>
      </w:r>
      <w:r w:rsidRPr="0057731A">
        <w:rPr>
          <w:rFonts w:asciiTheme="minorHAnsi" w:hAnsiTheme="minorHAnsi"/>
          <w:i/>
        </w:rPr>
        <w:t xml:space="preserve">Phoenix </w:t>
      </w:r>
      <w:proofErr w:type="spellStart"/>
      <w:r w:rsidRPr="0057731A">
        <w:rPr>
          <w:rFonts w:asciiTheme="minorHAnsi" w:hAnsiTheme="minorHAnsi"/>
          <w:i/>
        </w:rPr>
        <w:t>dactylifera</w:t>
      </w:r>
      <w:proofErr w:type="spellEnd"/>
      <w:r w:rsidRPr="0057731A">
        <w:rPr>
          <w:rFonts w:asciiTheme="minorHAnsi" w:hAnsiTheme="minorHAnsi"/>
        </w:rPr>
        <w:t xml:space="preserve">), </w:t>
      </w:r>
      <w:proofErr w:type="spellStart"/>
      <w:r w:rsidRPr="0057731A">
        <w:rPr>
          <w:rFonts w:asciiTheme="minorHAnsi" w:hAnsiTheme="minorHAnsi"/>
        </w:rPr>
        <w:t>rosewood</w:t>
      </w:r>
      <w:proofErr w:type="spellEnd"/>
      <w:r w:rsidRPr="0057731A">
        <w:rPr>
          <w:rFonts w:asciiTheme="minorHAnsi" w:hAnsiTheme="minorHAnsi"/>
        </w:rPr>
        <w:t xml:space="preserve"> (</w:t>
      </w:r>
      <w:proofErr w:type="spellStart"/>
      <w:r w:rsidRPr="0057731A">
        <w:rPr>
          <w:rFonts w:asciiTheme="minorHAnsi" w:hAnsiTheme="minorHAnsi"/>
          <w:i/>
        </w:rPr>
        <w:t>Tipuana</w:t>
      </w:r>
      <w:proofErr w:type="spellEnd"/>
      <w:r w:rsidRPr="0057731A">
        <w:rPr>
          <w:rFonts w:asciiTheme="minorHAnsi" w:hAnsiTheme="minorHAnsi"/>
          <w:i/>
        </w:rPr>
        <w:t xml:space="preserve"> </w:t>
      </w:r>
      <w:proofErr w:type="spellStart"/>
      <w:r w:rsidRPr="0057731A">
        <w:rPr>
          <w:rFonts w:asciiTheme="minorHAnsi" w:hAnsiTheme="minorHAnsi"/>
          <w:i/>
        </w:rPr>
        <w:t>tipu</w:t>
      </w:r>
      <w:proofErr w:type="spellEnd"/>
      <w:r w:rsidRPr="0057731A">
        <w:rPr>
          <w:rFonts w:asciiTheme="minorHAnsi" w:hAnsiTheme="minorHAnsi"/>
        </w:rPr>
        <w:t xml:space="preserve">), and </w:t>
      </w:r>
      <w:proofErr w:type="spellStart"/>
      <w:r w:rsidRPr="0057731A">
        <w:rPr>
          <w:rFonts w:asciiTheme="minorHAnsi" w:hAnsiTheme="minorHAnsi"/>
        </w:rPr>
        <w:t>chinaberry</w:t>
      </w:r>
      <w:proofErr w:type="spellEnd"/>
      <w:r w:rsidRPr="0057731A">
        <w:rPr>
          <w:rFonts w:asciiTheme="minorHAnsi" w:hAnsiTheme="minorHAnsi"/>
        </w:rPr>
        <w:t xml:space="preserve"> </w:t>
      </w:r>
      <w:proofErr w:type="spellStart"/>
      <w:r w:rsidRPr="0057731A">
        <w:rPr>
          <w:rFonts w:asciiTheme="minorHAnsi" w:hAnsiTheme="minorHAnsi"/>
        </w:rPr>
        <w:t>tree</w:t>
      </w:r>
      <w:proofErr w:type="spellEnd"/>
      <w:r w:rsidRPr="0057731A">
        <w:rPr>
          <w:rFonts w:asciiTheme="minorHAnsi" w:hAnsiTheme="minorHAnsi"/>
        </w:rPr>
        <w:t xml:space="preserve"> (</w:t>
      </w:r>
      <w:proofErr w:type="spellStart"/>
      <w:r w:rsidRPr="0057731A">
        <w:rPr>
          <w:rFonts w:asciiTheme="minorHAnsi" w:hAnsiTheme="minorHAnsi"/>
          <w:i/>
        </w:rPr>
        <w:t>Melia</w:t>
      </w:r>
      <w:proofErr w:type="spellEnd"/>
      <w:r w:rsidRPr="0057731A">
        <w:rPr>
          <w:rFonts w:asciiTheme="minorHAnsi" w:hAnsiTheme="minorHAnsi"/>
          <w:i/>
        </w:rPr>
        <w:t xml:space="preserve"> </w:t>
      </w:r>
      <w:proofErr w:type="spellStart"/>
      <w:r w:rsidRPr="0057731A">
        <w:rPr>
          <w:rFonts w:asciiTheme="minorHAnsi" w:hAnsiTheme="minorHAnsi"/>
          <w:i/>
        </w:rPr>
        <w:t>azedarach</w:t>
      </w:r>
      <w:proofErr w:type="spellEnd"/>
      <w:r w:rsidRPr="0057731A">
        <w:rPr>
          <w:rFonts w:asciiTheme="minorHAnsi" w:hAnsiTheme="minorHAnsi"/>
        </w:rPr>
        <w:t>).</w:t>
      </w:r>
    </w:p>
    <w:p w14:paraId="3A3C820C" w14:textId="77777777" w:rsidR="0057731A" w:rsidRDefault="0057731A" w:rsidP="0057731A">
      <w:pPr>
        <w:tabs>
          <w:tab w:val="left" w:pos="7130"/>
        </w:tabs>
        <w:spacing w:after="0" w:line="240" w:lineRule="auto"/>
        <w:ind w:right="141"/>
        <w:rPr>
          <w:b/>
        </w:rPr>
      </w:pPr>
    </w:p>
    <w:p w14:paraId="045F5551" w14:textId="77777777" w:rsidR="0057731A" w:rsidRDefault="00726968" w:rsidP="0057731A">
      <w:pPr>
        <w:tabs>
          <w:tab w:val="left" w:pos="7130"/>
        </w:tabs>
        <w:spacing w:after="0" w:line="240" w:lineRule="auto"/>
        <w:ind w:right="141"/>
        <w:rPr>
          <w:rFonts w:asciiTheme="minorHAnsi" w:hAnsiTheme="minorHAnsi"/>
        </w:rPr>
      </w:pPr>
      <w:proofErr w:type="spellStart"/>
      <w:r w:rsidRPr="0057731A">
        <w:rPr>
          <w:rFonts w:asciiTheme="minorHAnsi" w:hAnsiTheme="minorHAnsi"/>
          <w:b/>
        </w:rPr>
        <w:t>Location</w:t>
      </w:r>
      <w:proofErr w:type="spellEnd"/>
      <w:r w:rsidRPr="0057731A">
        <w:rPr>
          <w:rFonts w:asciiTheme="minorHAnsi" w:hAnsiTheme="minorHAnsi"/>
          <w:b/>
        </w:rPr>
        <w:t>:</w:t>
      </w:r>
      <w:r w:rsidRPr="0057731A">
        <w:rPr>
          <w:rFonts w:asciiTheme="minorHAnsi" w:hAnsiTheme="minorHAnsi"/>
        </w:rPr>
        <w:t xml:space="preserve"> In 60 </w:t>
      </w:r>
      <w:proofErr w:type="spellStart"/>
      <w:r w:rsidRPr="0057731A">
        <w:rPr>
          <w:rFonts w:asciiTheme="minorHAnsi" w:hAnsiTheme="minorHAnsi"/>
        </w:rPr>
        <w:t>communities</w:t>
      </w:r>
      <w:proofErr w:type="spellEnd"/>
      <w:r w:rsidRPr="0057731A">
        <w:rPr>
          <w:rFonts w:asciiTheme="minorHAnsi" w:hAnsiTheme="minorHAnsi"/>
        </w:rPr>
        <w:t xml:space="preserve"> of </w:t>
      </w:r>
      <w:proofErr w:type="spellStart"/>
      <w:r w:rsidRPr="0057731A">
        <w:rPr>
          <w:rFonts w:asciiTheme="minorHAnsi" w:hAnsiTheme="minorHAnsi"/>
        </w:rPr>
        <w:t>the</w:t>
      </w:r>
      <w:proofErr w:type="spellEnd"/>
      <w:r w:rsidRPr="0057731A">
        <w:rPr>
          <w:rFonts w:asciiTheme="minorHAnsi" w:hAnsiTheme="minorHAnsi"/>
        </w:rPr>
        <w:t xml:space="preserve"> </w:t>
      </w:r>
      <w:proofErr w:type="spellStart"/>
      <w:r w:rsidRPr="0057731A">
        <w:rPr>
          <w:rFonts w:asciiTheme="minorHAnsi" w:hAnsiTheme="minorHAnsi"/>
        </w:rPr>
        <w:t>municipalities</w:t>
      </w:r>
      <w:proofErr w:type="spellEnd"/>
      <w:r w:rsidRPr="0057731A">
        <w:rPr>
          <w:rFonts w:asciiTheme="minorHAnsi" w:hAnsiTheme="minorHAnsi"/>
        </w:rPr>
        <w:t xml:space="preserve"> of Arroyo Seco, </w:t>
      </w:r>
      <w:proofErr w:type="spellStart"/>
      <w:r w:rsidRPr="0057731A">
        <w:rPr>
          <w:rFonts w:asciiTheme="minorHAnsi" w:hAnsiTheme="minorHAnsi"/>
        </w:rPr>
        <w:t>Jalpan</w:t>
      </w:r>
      <w:proofErr w:type="spellEnd"/>
      <w:r w:rsidRPr="0057731A">
        <w:rPr>
          <w:rFonts w:asciiTheme="minorHAnsi" w:hAnsiTheme="minorHAnsi"/>
        </w:rPr>
        <w:t xml:space="preserve"> de Serra, Landa de Matamoros, and Pinal de Amoles in Querétaro, </w:t>
      </w:r>
      <w:proofErr w:type="spellStart"/>
      <w:r w:rsidRPr="0057731A">
        <w:rPr>
          <w:rFonts w:asciiTheme="minorHAnsi" w:hAnsiTheme="minorHAnsi"/>
        </w:rPr>
        <w:t>Mexico</w:t>
      </w:r>
      <w:proofErr w:type="spellEnd"/>
      <w:r w:rsidRPr="0057731A">
        <w:rPr>
          <w:rFonts w:asciiTheme="minorHAnsi" w:hAnsiTheme="minorHAnsi"/>
        </w:rPr>
        <w:t>.</w:t>
      </w:r>
    </w:p>
    <w:p w14:paraId="3E55CA52" w14:textId="77777777" w:rsidR="0057731A" w:rsidRDefault="0057731A" w:rsidP="0057731A">
      <w:pPr>
        <w:tabs>
          <w:tab w:val="left" w:pos="7130"/>
        </w:tabs>
        <w:spacing w:after="0" w:line="240" w:lineRule="auto"/>
        <w:ind w:right="141"/>
        <w:rPr>
          <w:b/>
        </w:rPr>
      </w:pPr>
    </w:p>
    <w:p w14:paraId="6EE61B13" w14:textId="5858BD85" w:rsidR="00726968" w:rsidRPr="00D6499E" w:rsidRDefault="00726968" w:rsidP="0057731A">
      <w:pPr>
        <w:tabs>
          <w:tab w:val="left" w:pos="7130"/>
        </w:tabs>
        <w:spacing w:after="0" w:line="240" w:lineRule="auto"/>
        <w:ind w:right="141"/>
        <w:rPr>
          <w:b/>
          <w:lang w:val="en-US"/>
        </w:rPr>
      </w:pPr>
      <w:r w:rsidRPr="0057731A">
        <w:rPr>
          <w:rFonts w:asciiTheme="minorHAnsi" w:hAnsiTheme="minorHAnsi"/>
          <w:b/>
          <w:position w:val="-1"/>
          <w:lang w:val="en-US"/>
        </w:rPr>
        <w:t xml:space="preserve">Dates planted: </w:t>
      </w:r>
      <w:r w:rsidRPr="0057731A">
        <w:rPr>
          <w:rFonts w:asciiTheme="minorHAnsi" w:hAnsiTheme="minorHAnsi"/>
          <w:position w:val="-1"/>
          <w:lang w:val="en-US"/>
        </w:rPr>
        <w:t>Throughout the period 07/09/2018 to 09/07/2018</w:t>
      </w:r>
    </w:p>
    <w:tbl>
      <w:tblPr>
        <w:tblpPr w:leftFromText="180" w:rightFromText="180" w:vertAnchor="text" w:horzAnchor="margin" w:tblpY="590"/>
        <w:tblW w:w="8713" w:type="dxa"/>
        <w:tblLook w:val="0000" w:firstRow="0" w:lastRow="0" w:firstColumn="0" w:lastColumn="0" w:noHBand="0" w:noVBand="0"/>
      </w:tblPr>
      <w:tblGrid>
        <w:gridCol w:w="3180"/>
        <w:gridCol w:w="1312"/>
        <w:gridCol w:w="1219"/>
        <w:gridCol w:w="118"/>
        <w:gridCol w:w="1546"/>
        <w:gridCol w:w="1235"/>
        <w:gridCol w:w="103"/>
      </w:tblGrid>
      <w:tr w:rsidR="0057731A" w:rsidRPr="0057731A" w14:paraId="094CD4D2" w14:textId="77777777" w:rsidTr="00BE48D6">
        <w:trPr>
          <w:trHeight w:val="406"/>
        </w:trPr>
        <w:tc>
          <w:tcPr>
            <w:tcW w:w="3180" w:type="dxa"/>
            <w:tcBorders>
              <w:top w:val="single" w:sz="8" w:space="0" w:color="auto"/>
              <w:left w:val="single" w:sz="8" w:space="0" w:color="auto"/>
              <w:bottom w:val="single" w:sz="4" w:space="0" w:color="auto"/>
              <w:right w:val="single" w:sz="4" w:space="0" w:color="auto"/>
            </w:tcBorders>
            <w:shd w:val="clear" w:color="auto" w:fill="FFFF99"/>
            <w:vAlign w:val="center"/>
          </w:tcPr>
          <w:p w14:paraId="318EE8FB" w14:textId="77777777" w:rsidR="0057731A" w:rsidRPr="0057731A" w:rsidRDefault="0057731A" w:rsidP="00E67DB7">
            <w:pPr>
              <w:jc w:val="center"/>
              <w:rPr>
                <w:sz w:val="18"/>
              </w:rPr>
            </w:pPr>
            <w:bookmarkStart w:id="0" w:name="_GoBack"/>
            <w:bookmarkEnd w:id="0"/>
            <w:r w:rsidRPr="0057731A">
              <w:rPr>
                <w:sz w:val="18"/>
              </w:rPr>
              <w:lastRenderedPageBreak/>
              <w:t>Description</w:t>
            </w:r>
          </w:p>
        </w:tc>
        <w:tc>
          <w:tcPr>
            <w:tcW w:w="1312" w:type="dxa"/>
            <w:tcBorders>
              <w:top w:val="single" w:sz="8" w:space="0" w:color="auto"/>
              <w:left w:val="nil"/>
              <w:bottom w:val="single" w:sz="4" w:space="0" w:color="auto"/>
              <w:right w:val="single" w:sz="4" w:space="0" w:color="auto"/>
            </w:tcBorders>
            <w:shd w:val="clear" w:color="auto" w:fill="FFFF99"/>
            <w:vAlign w:val="center"/>
          </w:tcPr>
          <w:p w14:paraId="528CA2B3" w14:textId="67306206" w:rsidR="0057731A" w:rsidRPr="0057731A" w:rsidRDefault="00BE48D6" w:rsidP="00E67DB7">
            <w:pPr>
              <w:jc w:val="center"/>
              <w:rPr>
                <w:sz w:val="18"/>
              </w:rPr>
            </w:pPr>
            <w:proofErr w:type="spellStart"/>
            <w:r>
              <w:rPr>
                <w:sz w:val="18"/>
              </w:rPr>
              <w:t>Adult</w:t>
            </w:r>
            <w:proofErr w:type="spellEnd"/>
            <w:r>
              <w:rPr>
                <w:sz w:val="18"/>
              </w:rPr>
              <w:t xml:space="preserve">, </w:t>
            </w:r>
            <w:proofErr w:type="spellStart"/>
            <w:r>
              <w:rPr>
                <w:sz w:val="18"/>
              </w:rPr>
              <w:t>age</w:t>
            </w:r>
            <w:proofErr w:type="spellEnd"/>
            <w:r>
              <w:rPr>
                <w:sz w:val="18"/>
              </w:rPr>
              <w:t xml:space="preserve"> 25+</w:t>
            </w:r>
          </w:p>
        </w:tc>
        <w:tc>
          <w:tcPr>
            <w:tcW w:w="1337" w:type="dxa"/>
            <w:gridSpan w:val="2"/>
            <w:tcBorders>
              <w:top w:val="single" w:sz="8" w:space="0" w:color="auto"/>
              <w:left w:val="nil"/>
              <w:bottom w:val="single" w:sz="4" w:space="0" w:color="auto"/>
              <w:right w:val="single" w:sz="4" w:space="0" w:color="auto"/>
            </w:tcBorders>
            <w:shd w:val="clear" w:color="auto" w:fill="FFFF99"/>
            <w:vAlign w:val="center"/>
          </w:tcPr>
          <w:p w14:paraId="784A8BBC" w14:textId="4A34710D" w:rsidR="0057731A" w:rsidRPr="0057731A" w:rsidRDefault="00BE48D6" w:rsidP="00E67DB7">
            <w:pPr>
              <w:jc w:val="center"/>
              <w:rPr>
                <w:sz w:val="18"/>
              </w:rPr>
            </w:pPr>
            <w:proofErr w:type="spellStart"/>
            <w:r>
              <w:rPr>
                <w:sz w:val="18"/>
              </w:rPr>
              <w:t>Youth</w:t>
            </w:r>
            <w:proofErr w:type="spellEnd"/>
            <w:r>
              <w:rPr>
                <w:sz w:val="18"/>
              </w:rPr>
              <w:t xml:space="preserve">, </w:t>
            </w:r>
            <w:proofErr w:type="spellStart"/>
            <w:r>
              <w:rPr>
                <w:sz w:val="18"/>
              </w:rPr>
              <w:t>age</w:t>
            </w:r>
            <w:proofErr w:type="spellEnd"/>
            <w:r>
              <w:rPr>
                <w:sz w:val="18"/>
              </w:rPr>
              <w:t xml:space="preserve"> 15-24</w:t>
            </w:r>
          </w:p>
        </w:tc>
        <w:tc>
          <w:tcPr>
            <w:tcW w:w="1546" w:type="dxa"/>
            <w:tcBorders>
              <w:top w:val="single" w:sz="8" w:space="0" w:color="auto"/>
              <w:left w:val="nil"/>
              <w:bottom w:val="single" w:sz="4" w:space="0" w:color="auto"/>
              <w:right w:val="single" w:sz="4" w:space="0" w:color="auto"/>
            </w:tcBorders>
            <w:shd w:val="clear" w:color="auto" w:fill="FFFF99"/>
            <w:vAlign w:val="center"/>
          </w:tcPr>
          <w:p w14:paraId="5EDF9BEA" w14:textId="31E4815F" w:rsidR="0057731A" w:rsidRPr="0057731A" w:rsidRDefault="00BE48D6" w:rsidP="00BE48D6">
            <w:pPr>
              <w:jc w:val="center"/>
              <w:rPr>
                <w:sz w:val="18"/>
              </w:rPr>
            </w:pPr>
            <w:proofErr w:type="spellStart"/>
            <w:r>
              <w:rPr>
                <w:sz w:val="18"/>
              </w:rPr>
              <w:t>Children</w:t>
            </w:r>
            <w:proofErr w:type="spellEnd"/>
            <w:r>
              <w:rPr>
                <w:sz w:val="18"/>
              </w:rPr>
              <w:t>, up to 14</w:t>
            </w:r>
          </w:p>
        </w:tc>
        <w:tc>
          <w:tcPr>
            <w:tcW w:w="1338" w:type="dxa"/>
            <w:gridSpan w:val="2"/>
            <w:tcBorders>
              <w:top w:val="single" w:sz="8" w:space="0" w:color="auto"/>
              <w:left w:val="nil"/>
              <w:bottom w:val="single" w:sz="4" w:space="0" w:color="auto"/>
              <w:right w:val="single" w:sz="4" w:space="0" w:color="auto"/>
            </w:tcBorders>
            <w:shd w:val="clear" w:color="auto" w:fill="FFFF99"/>
            <w:vAlign w:val="center"/>
          </w:tcPr>
          <w:p w14:paraId="505C8AFC" w14:textId="77777777" w:rsidR="0057731A" w:rsidRPr="0057731A" w:rsidRDefault="0057731A" w:rsidP="00E67DB7">
            <w:pPr>
              <w:jc w:val="center"/>
              <w:rPr>
                <w:sz w:val="18"/>
              </w:rPr>
            </w:pPr>
            <w:r w:rsidRPr="0057731A">
              <w:rPr>
                <w:sz w:val="18"/>
              </w:rPr>
              <w:t>Total</w:t>
            </w:r>
          </w:p>
        </w:tc>
      </w:tr>
      <w:tr w:rsidR="0057731A" w:rsidRPr="0057731A" w14:paraId="344E9D9C" w14:textId="77777777" w:rsidTr="00BE48D6">
        <w:trPr>
          <w:gridAfter w:val="1"/>
          <w:wAfter w:w="103" w:type="dxa"/>
          <w:trHeight w:val="318"/>
        </w:trPr>
        <w:tc>
          <w:tcPr>
            <w:tcW w:w="3180" w:type="dxa"/>
            <w:tcBorders>
              <w:top w:val="nil"/>
              <w:left w:val="single" w:sz="8" w:space="0" w:color="auto"/>
              <w:bottom w:val="single" w:sz="4" w:space="0" w:color="auto"/>
              <w:right w:val="single" w:sz="4" w:space="0" w:color="auto"/>
            </w:tcBorders>
            <w:shd w:val="clear" w:color="auto" w:fill="CCFFCC"/>
            <w:vAlign w:val="bottom"/>
          </w:tcPr>
          <w:p w14:paraId="638D25A6" w14:textId="027435A6" w:rsidR="0057731A" w:rsidRPr="0057731A" w:rsidRDefault="0057731A" w:rsidP="00B7378F">
            <w:pPr>
              <w:rPr>
                <w:sz w:val="18"/>
                <w:lang w:val="en-US"/>
              </w:rPr>
            </w:pPr>
            <w:r w:rsidRPr="0057731A">
              <w:rPr>
                <w:sz w:val="18"/>
                <w:lang w:val="en-US"/>
              </w:rPr>
              <w:t>Number of individuals DIRECTLY involved in the project</w:t>
            </w:r>
          </w:p>
        </w:tc>
        <w:tc>
          <w:tcPr>
            <w:tcW w:w="1312" w:type="dxa"/>
            <w:tcBorders>
              <w:top w:val="nil"/>
              <w:left w:val="nil"/>
              <w:bottom w:val="single" w:sz="4" w:space="0" w:color="auto"/>
              <w:right w:val="single" w:sz="4" w:space="0" w:color="auto"/>
            </w:tcBorders>
            <w:shd w:val="clear" w:color="auto" w:fill="auto"/>
          </w:tcPr>
          <w:p w14:paraId="38EA3556" w14:textId="77777777" w:rsidR="0057731A" w:rsidRPr="0057731A" w:rsidRDefault="0057731A" w:rsidP="00E67DB7">
            <w:pPr>
              <w:jc w:val="center"/>
              <w:rPr>
                <w:sz w:val="18"/>
              </w:rPr>
            </w:pPr>
            <w:r w:rsidRPr="0057731A">
              <w:rPr>
                <w:sz w:val="18"/>
              </w:rPr>
              <w:t>3,040</w:t>
            </w:r>
          </w:p>
        </w:tc>
        <w:tc>
          <w:tcPr>
            <w:tcW w:w="1219" w:type="dxa"/>
            <w:tcBorders>
              <w:top w:val="nil"/>
              <w:left w:val="nil"/>
              <w:bottom w:val="single" w:sz="4" w:space="0" w:color="auto"/>
              <w:right w:val="single" w:sz="4" w:space="0" w:color="auto"/>
            </w:tcBorders>
            <w:shd w:val="clear" w:color="auto" w:fill="auto"/>
          </w:tcPr>
          <w:p w14:paraId="0C0CEA87" w14:textId="77777777" w:rsidR="0057731A" w:rsidRPr="0057731A" w:rsidRDefault="0057731A" w:rsidP="00E67DB7">
            <w:pPr>
              <w:jc w:val="center"/>
              <w:rPr>
                <w:sz w:val="18"/>
              </w:rPr>
            </w:pPr>
            <w:r w:rsidRPr="0057731A">
              <w:rPr>
                <w:sz w:val="18"/>
              </w:rPr>
              <w:t>210</w:t>
            </w:r>
          </w:p>
        </w:tc>
        <w:tc>
          <w:tcPr>
            <w:tcW w:w="1664" w:type="dxa"/>
            <w:gridSpan w:val="2"/>
            <w:tcBorders>
              <w:top w:val="nil"/>
              <w:left w:val="nil"/>
              <w:bottom w:val="single" w:sz="4" w:space="0" w:color="auto"/>
              <w:right w:val="single" w:sz="4" w:space="0" w:color="auto"/>
            </w:tcBorders>
            <w:shd w:val="clear" w:color="auto" w:fill="auto"/>
          </w:tcPr>
          <w:p w14:paraId="668DFF0E" w14:textId="77777777" w:rsidR="0057731A" w:rsidRPr="0057731A" w:rsidRDefault="0057731A" w:rsidP="00E67DB7">
            <w:pPr>
              <w:jc w:val="center"/>
              <w:rPr>
                <w:sz w:val="18"/>
              </w:rPr>
            </w:pPr>
            <w:r w:rsidRPr="0057731A">
              <w:rPr>
                <w:sz w:val="18"/>
              </w:rPr>
              <w:t>240</w:t>
            </w:r>
          </w:p>
        </w:tc>
        <w:tc>
          <w:tcPr>
            <w:tcW w:w="1235" w:type="dxa"/>
            <w:tcBorders>
              <w:top w:val="nil"/>
              <w:left w:val="nil"/>
              <w:bottom w:val="single" w:sz="4" w:space="0" w:color="auto"/>
              <w:right w:val="single" w:sz="4" w:space="0" w:color="auto"/>
            </w:tcBorders>
            <w:shd w:val="clear" w:color="auto" w:fill="auto"/>
          </w:tcPr>
          <w:p w14:paraId="436FD517" w14:textId="77777777" w:rsidR="0057731A" w:rsidRPr="0057731A" w:rsidRDefault="0057731A" w:rsidP="00E67DB7">
            <w:pPr>
              <w:jc w:val="center"/>
              <w:rPr>
                <w:sz w:val="18"/>
              </w:rPr>
            </w:pPr>
            <w:r w:rsidRPr="0057731A">
              <w:rPr>
                <w:sz w:val="18"/>
              </w:rPr>
              <w:t>3,490</w:t>
            </w:r>
          </w:p>
        </w:tc>
      </w:tr>
      <w:tr w:rsidR="0057731A" w:rsidRPr="0057731A" w14:paraId="0A1A5081" w14:textId="77777777" w:rsidTr="00BE48D6">
        <w:trPr>
          <w:gridAfter w:val="1"/>
          <w:wAfter w:w="103" w:type="dxa"/>
          <w:trHeight w:val="430"/>
        </w:trPr>
        <w:tc>
          <w:tcPr>
            <w:tcW w:w="3180" w:type="dxa"/>
            <w:tcBorders>
              <w:top w:val="nil"/>
              <w:left w:val="single" w:sz="8" w:space="0" w:color="auto"/>
              <w:bottom w:val="single" w:sz="4" w:space="0" w:color="auto"/>
              <w:right w:val="single" w:sz="4" w:space="0" w:color="auto"/>
            </w:tcBorders>
            <w:shd w:val="clear" w:color="auto" w:fill="CCFFCC"/>
            <w:vAlign w:val="bottom"/>
          </w:tcPr>
          <w:p w14:paraId="470143BC" w14:textId="3F3AD5D4" w:rsidR="0057731A" w:rsidRPr="0057731A" w:rsidRDefault="0057731A" w:rsidP="00B7378F">
            <w:pPr>
              <w:rPr>
                <w:sz w:val="18"/>
                <w:lang w:val="en-US"/>
              </w:rPr>
            </w:pPr>
            <w:r w:rsidRPr="0057731A">
              <w:rPr>
                <w:sz w:val="18"/>
                <w:lang w:val="en-US"/>
              </w:rPr>
              <w:t>Number of individuals INDIRECTLY involved in the project.</w:t>
            </w:r>
          </w:p>
        </w:tc>
        <w:tc>
          <w:tcPr>
            <w:tcW w:w="1312" w:type="dxa"/>
            <w:tcBorders>
              <w:top w:val="nil"/>
              <w:left w:val="nil"/>
              <w:bottom w:val="single" w:sz="4" w:space="0" w:color="auto"/>
              <w:right w:val="single" w:sz="4" w:space="0" w:color="auto"/>
            </w:tcBorders>
            <w:shd w:val="clear" w:color="auto" w:fill="auto"/>
          </w:tcPr>
          <w:p w14:paraId="169069E0" w14:textId="77777777" w:rsidR="0057731A" w:rsidRPr="0057731A" w:rsidRDefault="0057731A" w:rsidP="00E67DB7">
            <w:pPr>
              <w:jc w:val="center"/>
              <w:rPr>
                <w:sz w:val="18"/>
              </w:rPr>
            </w:pPr>
            <w:r w:rsidRPr="0057731A">
              <w:rPr>
                <w:sz w:val="18"/>
              </w:rPr>
              <w:t>26,084</w:t>
            </w:r>
          </w:p>
        </w:tc>
        <w:tc>
          <w:tcPr>
            <w:tcW w:w="1219" w:type="dxa"/>
            <w:tcBorders>
              <w:top w:val="nil"/>
              <w:left w:val="nil"/>
              <w:bottom w:val="single" w:sz="4" w:space="0" w:color="auto"/>
              <w:right w:val="single" w:sz="4" w:space="0" w:color="auto"/>
            </w:tcBorders>
            <w:shd w:val="clear" w:color="auto" w:fill="auto"/>
          </w:tcPr>
          <w:p w14:paraId="3D3A8367" w14:textId="77777777" w:rsidR="0057731A" w:rsidRPr="0057731A" w:rsidRDefault="0057731A" w:rsidP="00E67DB7">
            <w:pPr>
              <w:jc w:val="center"/>
              <w:rPr>
                <w:sz w:val="18"/>
              </w:rPr>
            </w:pPr>
            <w:r w:rsidRPr="0057731A">
              <w:rPr>
                <w:sz w:val="18"/>
              </w:rPr>
              <w:t>430</w:t>
            </w:r>
          </w:p>
        </w:tc>
        <w:tc>
          <w:tcPr>
            <w:tcW w:w="1664" w:type="dxa"/>
            <w:gridSpan w:val="2"/>
            <w:tcBorders>
              <w:top w:val="nil"/>
              <w:left w:val="nil"/>
              <w:bottom w:val="single" w:sz="4" w:space="0" w:color="auto"/>
              <w:right w:val="single" w:sz="4" w:space="0" w:color="auto"/>
            </w:tcBorders>
            <w:shd w:val="clear" w:color="auto" w:fill="auto"/>
          </w:tcPr>
          <w:p w14:paraId="08CFD5C5" w14:textId="77777777" w:rsidR="0057731A" w:rsidRPr="0057731A" w:rsidRDefault="0057731A" w:rsidP="00E67DB7">
            <w:pPr>
              <w:jc w:val="center"/>
              <w:rPr>
                <w:sz w:val="18"/>
              </w:rPr>
            </w:pPr>
            <w:r w:rsidRPr="0057731A">
              <w:rPr>
                <w:sz w:val="18"/>
              </w:rPr>
              <w:t>X</w:t>
            </w:r>
          </w:p>
        </w:tc>
        <w:tc>
          <w:tcPr>
            <w:tcW w:w="1235" w:type="dxa"/>
            <w:tcBorders>
              <w:top w:val="nil"/>
              <w:left w:val="nil"/>
              <w:bottom w:val="single" w:sz="4" w:space="0" w:color="auto"/>
              <w:right w:val="single" w:sz="4" w:space="0" w:color="auto"/>
            </w:tcBorders>
            <w:shd w:val="clear" w:color="auto" w:fill="auto"/>
          </w:tcPr>
          <w:p w14:paraId="06587201" w14:textId="77777777" w:rsidR="0057731A" w:rsidRPr="0057731A" w:rsidRDefault="0057731A" w:rsidP="00E67DB7">
            <w:pPr>
              <w:jc w:val="center"/>
              <w:rPr>
                <w:sz w:val="18"/>
              </w:rPr>
            </w:pPr>
            <w:r w:rsidRPr="0057731A">
              <w:rPr>
                <w:sz w:val="18"/>
              </w:rPr>
              <w:t>26,514</w:t>
            </w:r>
          </w:p>
        </w:tc>
      </w:tr>
      <w:tr w:rsidR="0057731A" w:rsidRPr="0057731A" w14:paraId="30E03F0D" w14:textId="77777777" w:rsidTr="00BE48D6">
        <w:trPr>
          <w:gridAfter w:val="1"/>
          <w:wAfter w:w="103" w:type="dxa"/>
          <w:trHeight w:val="356"/>
        </w:trPr>
        <w:tc>
          <w:tcPr>
            <w:tcW w:w="3180" w:type="dxa"/>
            <w:tcBorders>
              <w:top w:val="nil"/>
              <w:left w:val="single" w:sz="8" w:space="0" w:color="auto"/>
              <w:bottom w:val="single" w:sz="4" w:space="0" w:color="auto"/>
              <w:right w:val="single" w:sz="4" w:space="0" w:color="auto"/>
            </w:tcBorders>
            <w:shd w:val="clear" w:color="auto" w:fill="CCFFCC"/>
            <w:vAlign w:val="bottom"/>
          </w:tcPr>
          <w:p w14:paraId="2E8F2AEC" w14:textId="77777777" w:rsidR="0057731A" w:rsidRPr="0057731A" w:rsidRDefault="0057731A" w:rsidP="00E67DB7">
            <w:pPr>
              <w:rPr>
                <w:sz w:val="18"/>
                <w:lang w:val="en-US"/>
              </w:rPr>
            </w:pPr>
            <w:r w:rsidRPr="0057731A">
              <w:rPr>
                <w:sz w:val="18"/>
                <w:lang w:val="en-US"/>
              </w:rPr>
              <w:t>TOTAL including DIRECTLY and INDIRECTLY involved</w:t>
            </w:r>
          </w:p>
        </w:tc>
        <w:tc>
          <w:tcPr>
            <w:tcW w:w="1312" w:type="dxa"/>
            <w:tcBorders>
              <w:top w:val="nil"/>
              <w:left w:val="nil"/>
              <w:bottom w:val="single" w:sz="4" w:space="0" w:color="auto"/>
              <w:right w:val="single" w:sz="4" w:space="0" w:color="auto"/>
            </w:tcBorders>
            <w:shd w:val="clear" w:color="auto" w:fill="auto"/>
          </w:tcPr>
          <w:p w14:paraId="456E7334" w14:textId="77777777" w:rsidR="0057731A" w:rsidRPr="0057731A" w:rsidRDefault="0057731A" w:rsidP="00E67DB7">
            <w:pPr>
              <w:jc w:val="center"/>
              <w:rPr>
                <w:sz w:val="18"/>
              </w:rPr>
            </w:pPr>
            <w:r w:rsidRPr="0057731A">
              <w:rPr>
                <w:sz w:val="18"/>
              </w:rPr>
              <w:t>29,124</w:t>
            </w:r>
          </w:p>
        </w:tc>
        <w:tc>
          <w:tcPr>
            <w:tcW w:w="1219" w:type="dxa"/>
            <w:tcBorders>
              <w:top w:val="nil"/>
              <w:left w:val="nil"/>
              <w:bottom w:val="single" w:sz="4" w:space="0" w:color="auto"/>
              <w:right w:val="single" w:sz="4" w:space="0" w:color="auto"/>
            </w:tcBorders>
            <w:shd w:val="clear" w:color="auto" w:fill="auto"/>
          </w:tcPr>
          <w:p w14:paraId="39467911" w14:textId="77777777" w:rsidR="0057731A" w:rsidRPr="0057731A" w:rsidRDefault="0057731A" w:rsidP="00E67DB7">
            <w:pPr>
              <w:jc w:val="center"/>
              <w:rPr>
                <w:sz w:val="18"/>
              </w:rPr>
            </w:pPr>
            <w:r w:rsidRPr="0057731A">
              <w:rPr>
                <w:sz w:val="18"/>
              </w:rPr>
              <w:t>640</w:t>
            </w:r>
          </w:p>
        </w:tc>
        <w:tc>
          <w:tcPr>
            <w:tcW w:w="1664" w:type="dxa"/>
            <w:gridSpan w:val="2"/>
            <w:tcBorders>
              <w:top w:val="nil"/>
              <w:left w:val="nil"/>
              <w:bottom w:val="single" w:sz="4" w:space="0" w:color="auto"/>
              <w:right w:val="single" w:sz="4" w:space="0" w:color="auto"/>
            </w:tcBorders>
            <w:shd w:val="clear" w:color="auto" w:fill="auto"/>
          </w:tcPr>
          <w:p w14:paraId="5F9F5F95" w14:textId="77777777" w:rsidR="0057731A" w:rsidRPr="0057731A" w:rsidRDefault="0057731A" w:rsidP="00E67DB7">
            <w:pPr>
              <w:jc w:val="center"/>
              <w:rPr>
                <w:sz w:val="18"/>
              </w:rPr>
            </w:pPr>
            <w:r w:rsidRPr="0057731A">
              <w:rPr>
                <w:sz w:val="18"/>
              </w:rPr>
              <w:t>240</w:t>
            </w:r>
          </w:p>
        </w:tc>
        <w:tc>
          <w:tcPr>
            <w:tcW w:w="1235" w:type="dxa"/>
            <w:tcBorders>
              <w:top w:val="nil"/>
              <w:left w:val="nil"/>
              <w:bottom w:val="single" w:sz="4" w:space="0" w:color="auto"/>
              <w:right w:val="single" w:sz="4" w:space="0" w:color="auto"/>
            </w:tcBorders>
            <w:shd w:val="clear" w:color="auto" w:fill="auto"/>
          </w:tcPr>
          <w:p w14:paraId="52E83258" w14:textId="77777777" w:rsidR="0057731A" w:rsidRPr="0057731A" w:rsidRDefault="0057731A" w:rsidP="00E67DB7">
            <w:pPr>
              <w:jc w:val="center"/>
              <w:rPr>
                <w:sz w:val="18"/>
              </w:rPr>
            </w:pPr>
            <w:r w:rsidRPr="0057731A">
              <w:rPr>
                <w:sz w:val="18"/>
              </w:rPr>
              <w:t>30,004</w:t>
            </w:r>
          </w:p>
        </w:tc>
      </w:tr>
    </w:tbl>
    <w:p w14:paraId="074E60F8" w14:textId="77777777" w:rsidR="00726968" w:rsidRPr="0057731A" w:rsidRDefault="00726968" w:rsidP="00726968">
      <w:pPr>
        <w:spacing w:line="260" w:lineRule="exact"/>
        <w:ind w:left="-180"/>
        <w:rPr>
          <w:b/>
          <w:position w:val="-1"/>
          <w:lang w:val="en-US"/>
        </w:rPr>
      </w:pPr>
    </w:p>
    <w:p w14:paraId="64EAAC69" w14:textId="77777777" w:rsidR="00726968" w:rsidRPr="0057731A" w:rsidRDefault="00726968" w:rsidP="00726968">
      <w:pPr>
        <w:spacing w:line="260" w:lineRule="exact"/>
        <w:ind w:left="-180"/>
        <w:rPr>
          <w:b/>
          <w:position w:val="-1"/>
          <w:lang w:val="en-US"/>
        </w:rPr>
      </w:pPr>
    </w:p>
    <w:p w14:paraId="4B6C0108" w14:textId="77777777" w:rsidR="00726968" w:rsidRPr="008645B8" w:rsidRDefault="00726968" w:rsidP="008645B8">
      <w:pPr>
        <w:tabs>
          <w:tab w:val="left" w:pos="7130"/>
        </w:tabs>
        <w:spacing w:after="0" w:line="240" w:lineRule="auto"/>
        <w:ind w:right="141"/>
        <w:rPr>
          <w:rFonts w:ascii="Cambria" w:hAnsi="Cambria"/>
          <w:b/>
          <w:lang w:val="en-US"/>
        </w:rPr>
      </w:pPr>
    </w:p>
    <w:sectPr w:rsidR="00726968" w:rsidRPr="008645B8" w:rsidSect="000865B1">
      <w:headerReference w:type="even" r:id="rId9"/>
      <w:headerReference w:type="default" r:id="rId10"/>
      <w:footerReference w:type="default" r:id="rId11"/>
      <w:pgSz w:w="11906" w:h="16838" w:code="9"/>
      <w:pgMar w:top="1417" w:right="1750" w:bottom="1530" w:left="1701" w:header="708" w:footer="4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60DD8" w14:textId="77777777" w:rsidR="00ED33BF" w:rsidRDefault="00ED33BF" w:rsidP="007814B0">
      <w:pPr>
        <w:spacing w:after="0" w:line="240" w:lineRule="auto"/>
      </w:pPr>
      <w:r>
        <w:separator/>
      </w:r>
    </w:p>
  </w:endnote>
  <w:endnote w:type="continuationSeparator" w:id="0">
    <w:p w14:paraId="62EC7ADC" w14:textId="77777777" w:rsidR="00ED33BF" w:rsidRDefault="00ED33BF" w:rsidP="00781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ree Lt">
    <w:altName w:val="Arial"/>
    <w:panose1 w:val="00000000000000000000"/>
    <w:charset w:val="00"/>
    <w:family w:val="modern"/>
    <w:notTrueType/>
    <w:pitch w:val="variable"/>
    <w:sig w:usb0="A00000AF" w:usb1="5000205B" w:usb2="00000000" w:usb3="00000000" w:csb0="0000009B"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B6FC" w14:textId="77777777" w:rsidR="007814B0" w:rsidRPr="00126C0E" w:rsidRDefault="00BD6A09" w:rsidP="00B7793D">
    <w:pPr>
      <w:ind w:left="-426" w:right="-425"/>
      <w:rPr>
        <w:rFonts w:ascii="Bree Lt" w:hAnsi="Bree Lt" w:cs="Arial"/>
        <w:color w:val="000000"/>
        <w:sz w:val="16"/>
        <w:szCs w:val="16"/>
        <w:lang w:val="fr-FR"/>
      </w:rPr>
    </w:pPr>
    <w:r>
      <w:rPr>
        <w:rFonts w:ascii="Bree Lt" w:hAnsi="Bree Lt" w:cs="Arial"/>
        <w:noProof/>
        <w:color w:val="365F91"/>
        <w:sz w:val="16"/>
        <w:szCs w:val="16"/>
        <w:lang w:val="en-US"/>
      </w:rPr>
      <mc:AlternateContent>
        <mc:Choice Requires="wps">
          <w:drawing>
            <wp:anchor distT="0" distB="0" distL="114300" distR="114300" simplePos="0" relativeHeight="251656704" behindDoc="0" locked="0" layoutInCell="1" allowOverlap="1" wp14:anchorId="66ED4296" wp14:editId="37206868">
              <wp:simplePos x="0" y="0"/>
              <wp:positionH relativeFrom="column">
                <wp:posOffset>-490855</wp:posOffset>
              </wp:positionH>
              <wp:positionV relativeFrom="paragraph">
                <wp:posOffset>-42545</wp:posOffset>
              </wp:positionV>
              <wp:extent cx="6541135" cy="0"/>
              <wp:effectExtent l="13970" t="14605" r="1714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41135" cy="0"/>
                      </a:xfrm>
                      <a:prstGeom prst="straightConnector1">
                        <a:avLst/>
                      </a:prstGeom>
                      <a:noFill/>
                      <a:ln w="19050">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F9F5920" id="_x0000_t32" coordsize="21600,21600" o:spt="32" o:oned="t" path="m,l21600,21600e" filled="f">
              <v:path arrowok="t" fillok="f" o:connecttype="none"/>
              <o:lock v:ext="edit" shapetype="t"/>
            </v:shapetype>
            <v:shape id="AutoShape 4" o:spid="_x0000_s1026" type="#_x0000_t32" style="position:absolute;margin-left:-38.65pt;margin-top:-3.35pt;width:515.0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" strokecolor="#365f91" strokeweight="1.5pt"/>
          </w:pict>
        </mc:Fallback>
      </mc:AlternateContent>
    </w:r>
    <w:r w:rsidR="007814B0" w:rsidRPr="001110A0">
      <w:rPr>
        <w:rFonts w:ascii="Bree Lt" w:hAnsi="Bree Lt" w:cs="Arial"/>
        <w:color w:val="365F91"/>
        <w:sz w:val="16"/>
        <w:szCs w:val="16"/>
      </w:rPr>
      <w:t>Oficina Central:</w:t>
    </w:r>
    <w:r w:rsidR="007814B0" w:rsidRPr="00126C0E">
      <w:rPr>
        <w:rFonts w:ascii="Bree Lt" w:hAnsi="Bree Lt" w:cs="Arial"/>
        <w:color w:val="000000"/>
        <w:sz w:val="16"/>
        <w:szCs w:val="16"/>
      </w:rPr>
      <w:t xml:space="preserve"> Av. La Presa s/n.  </w:t>
    </w:r>
    <w:proofErr w:type="spellStart"/>
    <w:r w:rsidR="007814B0" w:rsidRPr="00126C0E">
      <w:rPr>
        <w:rFonts w:ascii="Bree Lt" w:hAnsi="Bree Lt" w:cs="Arial"/>
        <w:color w:val="000000"/>
        <w:sz w:val="16"/>
        <w:szCs w:val="16"/>
      </w:rPr>
      <w:t>Jalpan</w:t>
    </w:r>
    <w:proofErr w:type="spellEnd"/>
    <w:r w:rsidR="007814B0" w:rsidRPr="00126C0E">
      <w:rPr>
        <w:rFonts w:ascii="Bree Lt" w:hAnsi="Bree Lt" w:cs="Arial"/>
        <w:color w:val="000000"/>
        <w:sz w:val="16"/>
        <w:szCs w:val="16"/>
      </w:rPr>
      <w:t xml:space="preserve"> de Serra, </w:t>
    </w:r>
    <w:proofErr w:type="spellStart"/>
    <w:r w:rsidR="007814B0" w:rsidRPr="00126C0E">
      <w:rPr>
        <w:rFonts w:ascii="Bree Lt" w:hAnsi="Bree Lt" w:cs="Arial"/>
        <w:color w:val="000000"/>
        <w:sz w:val="16"/>
        <w:szCs w:val="16"/>
      </w:rPr>
      <w:t>Qro</w:t>
    </w:r>
    <w:proofErr w:type="spellEnd"/>
    <w:r w:rsidR="007814B0" w:rsidRPr="00126C0E">
      <w:rPr>
        <w:rFonts w:ascii="Bree Lt" w:hAnsi="Bree Lt" w:cs="Arial"/>
        <w:color w:val="000000"/>
        <w:sz w:val="16"/>
        <w:szCs w:val="16"/>
      </w:rPr>
      <w:t xml:space="preserve">. México. </w:t>
    </w:r>
    <w:r w:rsidR="007814B0" w:rsidRPr="00126C0E">
      <w:rPr>
        <w:rFonts w:ascii="Bree Lt" w:hAnsi="Bree Lt" w:cs="Arial"/>
        <w:color w:val="000000"/>
        <w:sz w:val="16"/>
        <w:szCs w:val="16"/>
        <w:lang w:val="fr-FR"/>
      </w:rPr>
      <w:t xml:space="preserve">Tels/Fax 01 441 29 6 02 42, 29 6 02 29.  </w:t>
    </w:r>
    <w:r w:rsidR="007814B0" w:rsidRPr="00126C0E">
      <w:rPr>
        <w:rFonts w:ascii="Bree Lt" w:hAnsi="Bree Lt" w:cs="Arial"/>
        <w:b/>
        <w:color w:val="000000"/>
        <w:sz w:val="16"/>
        <w:szCs w:val="16"/>
        <w:lang w:val="fr-FR"/>
      </w:rPr>
      <w:t xml:space="preserve">info@sierragorda.net                                                                                                                                            </w:t>
    </w:r>
    <w:proofErr w:type="spellStart"/>
    <w:r w:rsidR="007814B0" w:rsidRPr="001110A0">
      <w:rPr>
        <w:rFonts w:ascii="Bree Lt" w:hAnsi="Bree Lt" w:cs="Arial"/>
        <w:color w:val="365F91"/>
        <w:sz w:val="16"/>
        <w:szCs w:val="16"/>
        <w:lang w:val="fr-FR"/>
      </w:rPr>
      <w:t>Dirección</w:t>
    </w:r>
    <w:proofErr w:type="spellEnd"/>
    <w:r w:rsidR="007814B0" w:rsidRPr="001110A0">
      <w:rPr>
        <w:rFonts w:ascii="Bree Lt" w:hAnsi="Bree Lt" w:cs="Arial"/>
        <w:color w:val="365F91"/>
        <w:sz w:val="16"/>
        <w:szCs w:val="16"/>
        <w:lang w:val="fr-FR"/>
      </w:rPr>
      <w:t xml:space="preserve"> Postal :</w:t>
    </w:r>
    <w:r w:rsidR="007814B0" w:rsidRPr="00126C0E">
      <w:rPr>
        <w:rFonts w:ascii="Bree Lt" w:hAnsi="Bree Lt" w:cs="Arial"/>
        <w:color w:val="000000"/>
        <w:sz w:val="16"/>
        <w:szCs w:val="16"/>
        <w:lang w:val="fr-FR"/>
      </w:rPr>
      <w:t xml:space="preserve"> Carlos </w:t>
    </w:r>
    <w:proofErr w:type="spellStart"/>
    <w:r w:rsidR="007814B0" w:rsidRPr="00126C0E">
      <w:rPr>
        <w:rFonts w:ascii="Bree Lt" w:hAnsi="Bree Lt" w:cs="Arial"/>
        <w:color w:val="000000"/>
        <w:sz w:val="16"/>
        <w:szCs w:val="16"/>
        <w:lang w:val="fr-FR"/>
      </w:rPr>
      <w:t>Septién</w:t>
    </w:r>
    <w:proofErr w:type="spellEnd"/>
    <w:r w:rsidR="007814B0" w:rsidRPr="00126C0E">
      <w:rPr>
        <w:rFonts w:ascii="Bree Lt" w:hAnsi="Bree Lt" w:cs="Arial"/>
        <w:color w:val="000000"/>
        <w:sz w:val="16"/>
        <w:szCs w:val="16"/>
        <w:lang w:val="fr-FR"/>
      </w:rPr>
      <w:t xml:space="preserve"> No. 46, Col. </w:t>
    </w:r>
    <w:proofErr w:type="spellStart"/>
    <w:r w:rsidR="007814B0" w:rsidRPr="00126C0E">
      <w:rPr>
        <w:rFonts w:ascii="Bree Lt" w:hAnsi="Bree Lt" w:cs="Arial"/>
        <w:color w:val="000000"/>
        <w:sz w:val="16"/>
        <w:szCs w:val="16"/>
        <w:lang w:val="fr-FR"/>
      </w:rPr>
      <w:t>Cimatario</w:t>
    </w:r>
    <w:proofErr w:type="spellEnd"/>
    <w:r w:rsidR="007814B0" w:rsidRPr="00126C0E">
      <w:rPr>
        <w:rFonts w:ascii="Bree Lt" w:hAnsi="Bree Lt" w:cs="Arial"/>
        <w:color w:val="000000"/>
        <w:sz w:val="16"/>
        <w:szCs w:val="16"/>
        <w:lang w:val="fr-FR"/>
      </w:rPr>
      <w:t xml:space="preserve">. Querétaro, </w:t>
    </w:r>
    <w:proofErr w:type="spellStart"/>
    <w:r w:rsidR="007814B0" w:rsidRPr="00126C0E">
      <w:rPr>
        <w:rFonts w:ascii="Bree Lt" w:hAnsi="Bree Lt" w:cs="Arial"/>
        <w:color w:val="000000"/>
        <w:sz w:val="16"/>
        <w:szCs w:val="16"/>
        <w:lang w:val="fr-FR"/>
      </w:rPr>
      <w:t>Qro</w:t>
    </w:r>
    <w:proofErr w:type="spellEnd"/>
    <w:r w:rsidR="007814B0" w:rsidRPr="00126C0E">
      <w:rPr>
        <w:rFonts w:ascii="Bree Lt" w:hAnsi="Bree Lt" w:cs="Arial"/>
        <w:color w:val="000000"/>
        <w:sz w:val="16"/>
        <w:szCs w:val="16"/>
        <w:lang w:val="fr-FR"/>
      </w:rPr>
      <w:t xml:space="preserve">., </w:t>
    </w:r>
    <w:proofErr w:type="spellStart"/>
    <w:r w:rsidR="007814B0" w:rsidRPr="00126C0E">
      <w:rPr>
        <w:rFonts w:ascii="Bree Lt" w:hAnsi="Bree Lt" w:cs="Arial"/>
        <w:color w:val="000000"/>
        <w:sz w:val="16"/>
        <w:szCs w:val="16"/>
        <w:lang w:val="fr-FR"/>
      </w:rPr>
      <w:t>México</w:t>
    </w:r>
    <w:proofErr w:type="spellEnd"/>
    <w:r w:rsidR="007814B0" w:rsidRPr="00126C0E">
      <w:rPr>
        <w:rFonts w:ascii="Bree Lt" w:hAnsi="Bree Lt" w:cs="Arial"/>
        <w:color w:val="000000"/>
        <w:sz w:val="16"/>
        <w:szCs w:val="16"/>
        <w:lang w:val="fr-FR"/>
      </w:rPr>
      <w:t>. C.P. 76030. Tels/Fax 01 442 212 32 67 y 212 47 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AE0FE" w14:textId="77777777" w:rsidR="00ED33BF" w:rsidRDefault="00ED33BF" w:rsidP="007814B0">
      <w:pPr>
        <w:spacing w:after="0" w:line="240" w:lineRule="auto"/>
      </w:pPr>
      <w:r>
        <w:separator/>
      </w:r>
    </w:p>
  </w:footnote>
  <w:footnote w:type="continuationSeparator" w:id="0">
    <w:p w14:paraId="46E9837D" w14:textId="77777777" w:rsidR="00ED33BF" w:rsidRDefault="00ED33BF" w:rsidP="00781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CE8B24" w14:textId="77777777" w:rsidR="00277823" w:rsidRDefault="000E7BA4">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A9919" w14:textId="47CF61E3" w:rsidR="007814B0" w:rsidRPr="00126C0E" w:rsidRDefault="00BD6A09" w:rsidP="00A14152">
    <w:pPr>
      <w:pStyle w:val="Header"/>
      <w:tabs>
        <w:tab w:val="clear" w:pos="4419"/>
        <w:tab w:val="clear" w:pos="8838"/>
        <w:tab w:val="left" w:pos="8060"/>
      </w:tabs>
      <w:rPr>
        <w:rFonts w:ascii="Bree Lt" w:hAnsi="Bree Lt"/>
        <w:color w:val="005C00"/>
        <w:sz w:val="24"/>
        <w:szCs w:val="24"/>
      </w:rPr>
    </w:pPr>
    <w:r>
      <w:rPr>
        <w:rFonts w:ascii="Bree Lt" w:hAnsi="Bree Lt"/>
        <w:noProof/>
        <w:color w:val="005C00"/>
        <w:sz w:val="24"/>
        <w:szCs w:val="24"/>
        <w:lang w:val="en-US"/>
      </w:rPr>
      <w:drawing>
        <wp:anchor distT="0" distB="0" distL="114300" distR="114300" simplePos="0" relativeHeight="251657728" behindDoc="0" locked="0" layoutInCell="1" allowOverlap="1" wp14:anchorId="2439D2EE" wp14:editId="595DB379">
          <wp:simplePos x="0" y="0"/>
          <wp:positionH relativeFrom="column">
            <wp:posOffset>4911090</wp:posOffset>
          </wp:positionH>
          <wp:positionV relativeFrom="paragraph">
            <wp:posOffset>-66040</wp:posOffset>
          </wp:positionV>
          <wp:extent cx="1449070" cy="923925"/>
          <wp:effectExtent l="0" t="0" r="0" b="9525"/>
          <wp:wrapSquare wrapText="bothSides"/>
          <wp:docPr id="4" name="Imagen 9" descr="GESGIAP logo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SGIAP logo vertical"/>
                  <pic:cNvPicPr>
                    <a:picLocks noChangeAspect="1" noChangeArrowheads="1"/>
                  </pic:cNvPicPr>
                </pic:nvPicPr>
                <pic:blipFill>
                  <a:blip r:embed="rId1">
                    <a:extLst>
                      <a:ext uri="{28A0092B-C50C-407E-A947-70E740481C1C}">
                        <a14:useLocalDpi xmlns:a14="http://schemas.microsoft.com/office/drawing/2010/main" val="0"/>
                      </a:ext>
                    </a:extLst>
                  </a:blip>
                  <a:srcRect t="9485"/>
                  <a:stretch>
                    <a:fillRect/>
                  </a:stretch>
                </pic:blipFill>
                <pic:spPr bwMode="auto">
                  <a:xfrm>
                    <a:off x="0" y="0"/>
                    <a:ext cx="144907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ree Lt" w:hAnsi="Bree Lt"/>
        <w:noProof/>
        <w:color w:val="005C00"/>
        <w:sz w:val="24"/>
        <w:szCs w:val="24"/>
        <w:lang w:val="en-US"/>
      </w:rPr>
      <mc:AlternateContent>
        <mc:Choice Requires="wps">
          <w:drawing>
            <wp:anchor distT="0" distB="0" distL="114300" distR="114300" simplePos="0" relativeHeight="251658752" behindDoc="0" locked="0" layoutInCell="1" allowOverlap="1" wp14:anchorId="7ABB1FF1" wp14:editId="77C54B78">
              <wp:simplePos x="0" y="0"/>
              <wp:positionH relativeFrom="column">
                <wp:posOffset>-1113790</wp:posOffset>
              </wp:positionH>
              <wp:positionV relativeFrom="paragraph">
                <wp:posOffset>-539115</wp:posOffset>
              </wp:positionV>
              <wp:extent cx="8051165" cy="256540"/>
              <wp:effectExtent l="10160" t="13335" r="6350" b="63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51165" cy="256540"/>
                      </a:xfrm>
                      <a:prstGeom prst="rect">
                        <a:avLst/>
                      </a:prstGeom>
                      <a:solidFill>
                        <a:srgbClr val="548DD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4873229" id="Rectangle 11" o:spid="_x0000_s1026" style="position:absolute;margin-left:-87.7pt;margin-top:-42.45pt;width:633.95pt;height:2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" fillcolor="#548dd4"/>
          </w:pict>
        </mc:Fallback>
      </mc:AlternateContent>
    </w:r>
    <w:r w:rsidR="003E004E">
      <w:rPr>
        <w:rFonts w:ascii="Bree Lt" w:hAnsi="Bree Lt"/>
        <w:color w:val="005C00"/>
        <w:sz w:val="24"/>
        <w:szCs w:val="24"/>
      </w:rPr>
      <w:t xml:space="preserve"> </w:t>
    </w:r>
  </w:p>
  <w:p w14:paraId="15803E68" w14:textId="77777777" w:rsidR="00DE7F7E" w:rsidRPr="00301DC7" w:rsidRDefault="00DE7F7E" w:rsidP="007814B0">
    <w:pPr>
      <w:pStyle w:val="Header"/>
      <w:tabs>
        <w:tab w:val="clear" w:pos="4419"/>
        <w:tab w:val="clear" w:pos="8838"/>
        <w:tab w:val="left" w:pos="8060"/>
      </w:tabs>
      <w:jc w:val="center"/>
      <w:rPr>
        <w:rFonts w:ascii="Maiandra GD" w:hAnsi="Maiandra GD"/>
        <w:color w:val="005C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E243A"/>
    <w:multiLevelType w:val="hybridMultilevel"/>
    <w:tmpl w:val="F6EC4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D0D6A"/>
    <w:multiLevelType w:val="hybridMultilevel"/>
    <w:tmpl w:val="28EA17F4"/>
    <w:lvl w:ilvl="0" w:tplc="8FF29D3A">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6D4496"/>
    <w:multiLevelType w:val="hybridMultilevel"/>
    <w:tmpl w:val="DEF29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56F5F"/>
    <w:multiLevelType w:val="multilevel"/>
    <w:tmpl w:val="E036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1747E7"/>
    <w:multiLevelType w:val="hybridMultilevel"/>
    <w:tmpl w:val="51BE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043440"/>
    <w:multiLevelType w:val="hybridMultilevel"/>
    <w:tmpl w:val="67105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C21772"/>
    <w:multiLevelType w:val="hybridMultilevel"/>
    <w:tmpl w:val="9EF82D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4B0"/>
    <w:rsid w:val="00026A1F"/>
    <w:rsid w:val="000376DB"/>
    <w:rsid w:val="00041DD1"/>
    <w:rsid w:val="000865B1"/>
    <w:rsid w:val="000E7BA4"/>
    <w:rsid w:val="001110A0"/>
    <w:rsid w:val="0012202B"/>
    <w:rsid w:val="00126C0E"/>
    <w:rsid w:val="00203F60"/>
    <w:rsid w:val="00210F1F"/>
    <w:rsid w:val="002555BB"/>
    <w:rsid w:val="00271D65"/>
    <w:rsid w:val="00277823"/>
    <w:rsid w:val="002812C7"/>
    <w:rsid w:val="002D7782"/>
    <w:rsid w:val="00301DC7"/>
    <w:rsid w:val="0030491A"/>
    <w:rsid w:val="00343881"/>
    <w:rsid w:val="00382E3B"/>
    <w:rsid w:val="003B3D39"/>
    <w:rsid w:val="003E004E"/>
    <w:rsid w:val="004036F1"/>
    <w:rsid w:val="00407409"/>
    <w:rsid w:val="004450F1"/>
    <w:rsid w:val="004D2D7C"/>
    <w:rsid w:val="004E2CF8"/>
    <w:rsid w:val="004F54FC"/>
    <w:rsid w:val="0057713D"/>
    <w:rsid w:val="0057731A"/>
    <w:rsid w:val="00590F74"/>
    <w:rsid w:val="005D2559"/>
    <w:rsid w:val="00605725"/>
    <w:rsid w:val="006872B1"/>
    <w:rsid w:val="006C1148"/>
    <w:rsid w:val="006D79D9"/>
    <w:rsid w:val="006F0DA8"/>
    <w:rsid w:val="006F35D0"/>
    <w:rsid w:val="00702653"/>
    <w:rsid w:val="00726968"/>
    <w:rsid w:val="00735379"/>
    <w:rsid w:val="00750817"/>
    <w:rsid w:val="007814B0"/>
    <w:rsid w:val="007B619F"/>
    <w:rsid w:val="007F1E76"/>
    <w:rsid w:val="00817516"/>
    <w:rsid w:val="00836162"/>
    <w:rsid w:val="00852E34"/>
    <w:rsid w:val="00853B36"/>
    <w:rsid w:val="008645B8"/>
    <w:rsid w:val="008800E5"/>
    <w:rsid w:val="00883639"/>
    <w:rsid w:val="0088367A"/>
    <w:rsid w:val="00892BB4"/>
    <w:rsid w:val="00896D30"/>
    <w:rsid w:val="008B6257"/>
    <w:rsid w:val="008C1854"/>
    <w:rsid w:val="008F2EEA"/>
    <w:rsid w:val="0094433C"/>
    <w:rsid w:val="00990080"/>
    <w:rsid w:val="00997520"/>
    <w:rsid w:val="009A1E56"/>
    <w:rsid w:val="009F6018"/>
    <w:rsid w:val="00A008C8"/>
    <w:rsid w:val="00A14152"/>
    <w:rsid w:val="00A35A5D"/>
    <w:rsid w:val="00A35B10"/>
    <w:rsid w:val="00A80150"/>
    <w:rsid w:val="00AC3FE1"/>
    <w:rsid w:val="00B5140A"/>
    <w:rsid w:val="00B6090A"/>
    <w:rsid w:val="00B678E7"/>
    <w:rsid w:val="00B7378F"/>
    <w:rsid w:val="00B7793D"/>
    <w:rsid w:val="00B80D82"/>
    <w:rsid w:val="00BA1F97"/>
    <w:rsid w:val="00BA583E"/>
    <w:rsid w:val="00BB3092"/>
    <w:rsid w:val="00BB4B5E"/>
    <w:rsid w:val="00BD6A09"/>
    <w:rsid w:val="00BE42A8"/>
    <w:rsid w:val="00BE48D6"/>
    <w:rsid w:val="00C22861"/>
    <w:rsid w:val="00C3182F"/>
    <w:rsid w:val="00C63E49"/>
    <w:rsid w:val="00C83D1F"/>
    <w:rsid w:val="00C90925"/>
    <w:rsid w:val="00CC299C"/>
    <w:rsid w:val="00CC5176"/>
    <w:rsid w:val="00CD467E"/>
    <w:rsid w:val="00CE2645"/>
    <w:rsid w:val="00CE4CBF"/>
    <w:rsid w:val="00CF52A7"/>
    <w:rsid w:val="00D038C6"/>
    <w:rsid w:val="00D36FFB"/>
    <w:rsid w:val="00D63719"/>
    <w:rsid w:val="00D6499E"/>
    <w:rsid w:val="00D7751D"/>
    <w:rsid w:val="00DE7F7E"/>
    <w:rsid w:val="00DF153C"/>
    <w:rsid w:val="00DF20B4"/>
    <w:rsid w:val="00E83977"/>
    <w:rsid w:val="00E8461D"/>
    <w:rsid w:val="00E96427"/>
    <w:rsid w:val="00EB03AC"/>
    <w:rsid w:val="00EB0EDC"/>
    <w:rsid w:val="00EB334A"/>
    <w:rsid w:val="00EC05FC"/>
    <w:rsid w:val="00ED33BF"/>
    <w:rsid w:val="00EF539E"/>
    <w:rsid w:val="00F2448F"/>
    <w:rsid w:val="00F3055E"/>
    <w:rsid w:val="00F7739C"/>
    <w:rsid w:val="00F80FFF"/>
    <w:rsid w:val="00F8372C"/>
    <w:rsid w:val="00FC3103"/>
    <w:rsid w:val="00FF04BF"/>
    <w:rsid w:val="00FF7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9C08F"/>
  <w15:docId w15:val="{3574F0E5-E46E-435A-A4F2-B62175A8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2A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4B0"/>
    <w:pPr>
      <w:tabs>
        <w:tab w:val="center" w:pos="4419"/>
        <w:tab w:val="right" w:pos="8838"/>
      </w:tabs>
      <w:spacing w:after="0" w:line="240" w:lineRule="auto"/>
    </w:pPr>
  </w:style>
  <w:style w:type="character" w:customStyle="1" w:styleId="HeaderChar">
    <w:name w:val="Header Char"/>
    <w:basedOn w:val="DefaultParagraphFont"/>
    <w:link w:val="Header"/>
    <w:uiPriority w:val="99"/>
    <w:rsid w:val="007814B0"/>
  </w:style>
  <w:style w:type="paragraph" w:styleId="Footer">
    <w:name w:val="footer"/>
    <w:basedOn w:val="Normal"/>
    <w:link w:val="FooterChar"/>
    <w:uiPriority w:val="99"/>
    <w:unhideWhenUsed/>
    <w:rsid w:val="007814B0"/>
    <w:pPr>
      <w:tabs>
        <w:tab w:val="center" w:pos="4419"/>
        <w:tab w:val="right" w:pos="8838"/>
      </w:tabs>
      <w:spacing w:after="0" w:line="240" w:lineRule="auto"/>
    </w:pPr>
  </w:style>
  <w:style w:type="character" w:customStyle="1" w:styleId="FooterChar">
    <w:name w:val="Footer Char"/>
    <w:basedOn w:val="DefaultParagraphFont"/>
    <w:link w:val="Footer"/>
    <w:uiPriority w:val="99"/>
    <w:rsid w:val="007814B0"/>
  </w:style>
  <w:style w:type="paragraph" w:styleId="BalloonText">
    <w:name w:val="Balloon Text"/>
    <w:basedOn w:val="Normal"/>
    <w:link w:val="BalloonTextChar"/>
    <w:uiPriority w:val="99"/>
    <w:semiHidden/>
    <w:unhideWhenUsed/>
    <w:rsid w:val="00781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4B0"/>
    <w:rPr>
      <w:rFonts w:ascii="Tahoma" w:hAnsi="Tahoma" w:cs="Tahoma"/>
      <w:sz w:val="16"/>
      <w:szCs w:val="16"/>
    </w:rPr>
  </w:style>
  <w:style w:type="character" w:styleId="Hyperlink">
    <w:name w:val="Hyperlink"/>
    <w:basedOn w:val="DefaultParagraphFont"/>
    <w:uiPriority w:val="99"/>
    <w:unhideWhenUsed/>
    <w:rsid w:val="00DE7F7E"/>
    <w:rPr>
      <w:color w:val="0000FF"/>
      <w:u w:val="single"/>
    </w:rPr>
  </w:style>
  <w:style w:type="table" w:styleId="TableGrid">
    <w:name w:val="Table Grid"/>
    <w:basedOn w:val="TableNormal"/>
    <w:uiPriority w:val="59"/>
    <w:rsid w:val="00B7793D"/>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F2EEA"/>
    <w:pPr>
      <w:ind w:left="720"/>
      <w:contextualSpacing/>
    </w:pPr>
  </w:style>
  <w:style w:type="paragraph" w:styleId="NormalWeb">
    <w:name w:val="Normal (Web)"/>
    <w:basedOn w:val="Normal"/>
    <w:uiPriority w:val="99"/>
    <w:semiHidden/>
    <w:unhideWhenUsed/>
    <w:rsid w:val="008F2EEA"/>
    <w:pPr>
      <w:spacing w:before="100" w:beforeAutospacing="1" w:after="100" w:afterAutospacing="1" w:line="240" w:lineRule="auto"/>
    </w:pPr>
    <w:rPr>
      <w:rFonts w:ascii="Times New Roman" w:eastAsia="Times New Roman" w:hAnsi="Times New Roman"/>
      <w:sz w:val="24"/>
      <w:szCs w:val="24"/>
      <w:lang w:val="en-US"/>
    </w:rPr>
  </w:style>
  <w:style w:type="paragraph" w:styleId="NoSpacing">
    <w:name w:val="No Spacing"/>
    <w:uiPriority w:val="1"/>
    <w:qFormat/>
    <w:rsid w:val="008C1854"/>
    <w:rPr>
      <w:sz w:val="22"/>
      <w:szCs w:val="22"/>
      <w:lang w:val="en-US" w:eastAsia="en-US"/>
    </w:rPr>
  </w:style>
  <w:style w:type="table" w:styleId="LightShading-Accent3">
    <w:name w:val="Light Shading Accent 3"/>
    <w:basedOn w:val="TableNormal"/>
    <w:uiPriority w:val="60"/>
    <w:rsid w:val="008645B8"/>
    <w:rPr>
      <w:rFonts w:asciiTheme="minorHAnsi" w:eastAsiaTheme="minorEastAsia"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FootnoteText">
    <w:name w:val="footnote text"/>
    <w:basedOn w:val="Normal"/>
    <w:link w:val="FootnoteTextChar"/>
    <w:rsid w:val="00726968"/>
    <w:pPr>
      <w:spacing w:after="0" w:line="240" w:lineRule="auto"/>
    </w:pPr>
    <w:rPr>
      <w:rFonts w:ascii="Times New Roman" w:eastAsia="Times New Roman" w:hAnsi="Times New Roman"/>
      <w:sz w:val="20"/>
      <w:szCs w:val="20"/>
      <w:lang w:val="en-US"/>
    </w:rPr>
  </w:style>
  <w:style w:type="character" w:customStyle="1" w:styleId="FootnoteTextChar">
    <w:name w:val="Footnote Text Char"/>
    <w:basedOn w:val="DefaultParagraphFont"/>
    <w:link w:val="FootnoteText"/>
    <w:rsid w:val="00726968"/>
    <w:rPr>
      <w:rFonts w:ascii="Times New Roman" w:eastAsia="Times New Roman" w:hAnsi="Times New Roman"/>
      <w:lang w:val="en-US" w:eastAsia="en-US"/>
    </w:rPr>
  </w:style>
  <w:style w:type="character" w:styleId="FootnoteReference">
    <w:name w:val="footnote reference"/>
    <w:rsid w:val="007269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8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A74EC-279B-4E73-88C1-D224E5D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6</Pages>
  <Words>1861</Words>
  <Characters>10608</Characters>
  <Application>Microsoft Office Word</Application>
  <DocSecurity>0</DocSecurity>
  <Lines>88</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paloma.cervantes</dc:creator>
  <cp:lastModifiedBy>Marina</cp:lastModifiedBy>
  <cp:revision>23</cp:revision>
  <cp:lastPrinted>2018-11-24T15:16:00Z</cp:lastPrinted>
  <dcterms:created xsi:type="dcterms:W3CDTF">2019-03-05T20:37:00Z</dcterms:created>
  <dcterms:modified xsi:type="dcterms:W3CDTF">2019-04-12T18:49:00Z</dcterms:modified>
</cp:coreProperties>
</file>